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400" w:after="1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858000" cy="84105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858000" cy="8410575"/>
                    </a:xfrm>
                    <a:prstGeom prst="rect">
                      <a:avLst/>
                    </a:prstGeom>
                    <a:noFill/>
                  </pic:spPr>
                </pic:pic>
              </a:graphicData>
            </a:graphic>
          </wp:anchor>
        </w:drawing>
      </w:r>
    </w:p>
    <w:p>
      <w:pPr>
        <w:pStyle w:val="Heading1"/>
        <w:rPr>
          <w:rFonts w:ascii="Times New Roman" w:hAnsi="Times New Roman" w:eastAsia="Times New Roman" w:cs="Times New Roman"/>
          <w:b/>
          <w:bCs/>
          <w:sz w:val="24"/>
          <w:szCs w:val="24"/>
        </w:rPr>
      </w:pPr>
      <w:bookmarkStart w:id="0" w:name="_jo700oyrgc06"/>
      <w:bookmarkEnd w:id="0"/>
      <w:r>
        <w:rPr>
          <w:rFonts w:eastAsia="Times New Roman" w:cs="Times New Roman" w:ascii="Times New Roman" w:hAnsi="Times New Roman"/>
          <w:b/>
          <w:bCs/>
          <w:sz w:val="24"/>
          <w:szCs w:val="24"/>
        </w:rPr>
        <w:t>TABLE OF CONTENTS</w:t>
      </w:r>
    </w:p>
    <w:p>
      <w:pPr>
        <w:pStyle w:val="normal1"/>
        <w:rPr/>
      </w:pPr>
      <w:r>
        <w:rPr/>
      </w:r>
    </w:p>
    <w:p>
      <w:pPr>
        <w:pStyle w:val="normal1"/>
        <w:rPr/>
      </w:pPr>
      <w:r>
        <w:rPr/>
      </w:r>
    </w:p>
    <w:sdt>
      <w:sdtPr>
        <w:docPartObj>
          <w:docPartGallery w:val="Table of Contents"/>
          <w:docPartUnique w:val="true"/>
        </w:docPartObj>
      </w:sdtPr>
      <w:sdtContent>
        <w:p>
          <w:pPr>
            <w:pStyle w:val="normal1"/>
            <w:widowControl w:val="false"/>
            <w:tabs>
              <w:tab w:val="clear" w:pos="720"/>
              <w:tab w:val="right" w:pos="12000" w:leader="dot"/>
            </w:tabs>
            <w:spacing w:lineRule="auto" w:line="240" w:before="60" w:after="0"/>
            <w:rPr>
              <w:rFonts w:ascii="Calibri" w:hAnsi="Calibri" w:eastAsia="Calibri" w:cs="Calibri"/>
              <w:b/>
              <w:bCs/>
            </w:rPr>
          </w:pPr>
          <w:r>
            <w:fldChar w:fldCharType="begin"/>
          </w:r>
          <w:r>
            <w:rPr>
              <w:b/>
              <w:bCs/>
              <w:rFonts w:eastAsia="Calibri" w:cs="Calibri" w:ascii="Calibri" w:hAnsi="Calibri"/>
            </w:rPr>
            <w:instrText xml:space="preserve"> TOC \z \o "1-9" \u \t "heading 1,1,heading 2,2,heading 3,3,heading 4,4,heading 5,5,heading 6,6" \h</w:instrText>
          </w:r>
          <w:r>
            <w:rPr>
              <w:b/>
              <w:bCs/>
              <w:rFonts w:eastAsia="Calibri" w:cs="Calibri" w:ascii="Calibri" w:hAnsi="Calibri"/>
            </w:rPr>
            <w:fldChar w:fldCharType="separate"/>
          </w:r>
          <w:r>
            <w:rPr>
              <w:rFonts w:eastAsia="Calibri" w:cs="Calibri" w:ascii="Calibri" w:hAnsi="Calibri"/>
              <w:b/>
              <w:bCs/>
            </w:rPr>
          </w:r>
        </w:p>
        <w:p>
          <w:pPr>
            <w:pStyle w:val="normal1"/>
            <w:widowControl w:val="false"/>
            <w:tabs>
              <w:tab w:val="clear" w:pos="720"/>
              <w:tab w:val="right" w:pos="12000" w:leader="dot"/>
            </w:tabs>
            <w:spacing w:lineRule="auto" w:line="240" w:before="60" w:after="0"/>
            <w:rPr>
              <w:rFonts w:ascii="Calibri" w:hAnsi="Calibri" w:eastAsia="Calibri" w:cs="Calibri"/>
              <w:b/>
              <w:bCs/>
            </w:rPr>
          </w:pPr>
          <w:r>
            <w:rPr>
              <w:rFonts w:eastAsia="Calibri" w:cs="Calibri" w:ascii="Calibri" w:hAnsi="Calibri"/>
              <w:b/>
              <w:bCs/>
            </w:rPr>
          </w:r>
        </w:p>
        <w:p>
          <w:pPr>
            <w:pStyle w:val="normal1"/>
            <w:widowControl w:val="false"/>
            <w:tabs>
              <w:tab w:val="clear" w:pos="720"/>
              <w:tab w:val="right" w:pos="12000" w:leader="dot"/>
            </w:tabs>
            <w:spacing w:lineRule="auto" w:line="240" w:before="60" w:after="0"/>
            <w:rPr>
              <w:rFonts w:ascii="Calibri" w:hAnsi="Calibri" w:eastAsia="Calibri" w:cs="Calibri"/>
              <w:b/>
              <w:bCs/>
            </w:rPr>
          </w:pPr>
          <w:r>
            <w:rPr>
              <w:rFonts w:eastAsia="Calibri" w:cs="Calibri" w:ascii="Calibri" w:hAnsi="Calibri"/>
              <w:b/>
              <w:bCs/>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"heading=h.stzzma363cek"</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INTRODUCTION</w:t>
            <w:tab/>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2</w:t>
          </w:r>
        </w:p>
        <w:p>
          <w:pPr>
            <w:pStyle w:val="normal1"/>
            <w:widowControl w:val="false"/>
            <w:tabs>
              <w:tab w:val="clear" w:pos="720"/>
              <w:tab w:val="right" w:pos="12000" w:leader="dot"/>
            </w:tabs>
            <w:spacing w:lineRule="auto" w:line="240" w:before="60" w:after="0"/>
            <w:ind w:hanging="0" w:left="3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ind w:hanging="0" w:left="3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"heading=h.itexk26sy6vy"</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I</w:t>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 New York’s Rising Rates</w:t>
          </w: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"heading=h.m9yii1bm7160"</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ab/>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10</w:t>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"heading=h.zcmx32bmo9tl"</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II</w:t>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 New Jersey Facing a Rate Crisis as Well</w:t>
          </w: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"heading=h.hjlfj57cu43s"</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ab/>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12</w:t>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III:The Need for More Power Due to AI</w:t>
          </w: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"heading=h.tluf85khtjx6"</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ab/>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12</w:t>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IV: Germany’s Failed Experiment</w:t>
          </w: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"heading=h.mqrkh5pgrfpd"</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ab/>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12</w:t>
          </w:r>
        </w:p>
        <w:p>
          <w:pPr>
            <w:pStyle w:val="normal1"/>
            <w:widowControl w:val="false"/>
            <w:tabs>
              <w:tab w:val="clear" w:pos="720"/>
              <w:tab w:val="right" w:pos="12000" w:leader="dot"/>
            </w:tabs>
            <w:spacing w:lineRule="auto" w:line="240" w:before="60" w:after="0"/>
            <w:ind w:hanging="0" w:left="3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ind w:hanging="0" w:left="3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V: </w:t>
          </w:r>
          <w:r>
            <w:rPr>
              <w:rFonts w:eastAsia="Times New Roman" w:cs="Times New Roman" w:ascii="Times New Roman" w:hAnsi="Times New Roman"/>
              <w:b/>
              <w:bCs/>
              <w:sz w:val="24"/>
              <w:szCs w:val="24"/>
              <w:highlight w:val="white"/>
            </w:rPr>
            <w:t>California’s Failed Experiment</w:t>
          </w: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"heading=h.mqrkh5pgrfpd"</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ab/>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13</w:t>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VI: The High Cost of Offshore Wind Energy</w:t>
          </w: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"heading=h.mqrkh5pgrfpd"</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ab/>
          </w:r>
          <w:r>
            <w:rPr>
              <w:rStyle w:val="IndexLink"/>
              <w:sz w:val="24"/>
              <w:b/>
              <w:szCs w:val="24"/>
              <w:bCs/>
              <w:rFonts w:eastAsia="Times New Roman" w:cs="Times New Roman" w:ascii="Times New Roman" w:hAnsi="Times New Roman"/>
            </w:rPr>
            <w:fldChar w:fldCharType="end"/>
          </w:r>
          <w:r>
            <w:rPr>
              <w:rFonts w:eastAsia="Times New Roman" w:cs="Times New Roman" w:ascii="Times New Roman" w:hAnsi="Times New Roman"/>
              <w:b/>
              <w:bCs/>
              <w:sz w:val="24"/>
              <w:szCs w:val="24"/>
            </w:rPr>
            <w:t>13</w:t>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tabs>
              <w:tab w:val="clear" w:pos="720"/>
              <w:tab w:val="right" w:pos="12000" w:leader="dot"/>
            </w:tabs>
            <w:spacing w:lineRule="auto" w:line="240" w:before="60" w:after="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CONCLUSION</w:t>
          </w:r>
          <w:r>
            <w:fldChar w:fldCharType="begin"/>
          </w:r>
          <w:r>
            <w:rPr>
              <w:rStyle w:val="IndexLink"/>
              <w:sz w:val="24"/>
              <w:b/>
              <w:szCs w:val="24"/>
              <w:bCs/>
              <w:rFonts w:eastAsia="Times New Roman" w:cs="Times New Roman" w:ascii="Times New Roman" w:hAnsi="Times New Roman"/>
            </w:rPr>
            <w:instrText xml:space="preserve"> HYPERLINK "https://docs.google.com/document/d/1Rpr8l0Ez5QAeMLU1JjcYGl61iFUQrJANIo1MkEm3X_Y/edit?tab=t.0" \l "heading=h.mqrkh5pgrfpd"</w:instrText>
          </w:r>
          <w:r>
            <w:rPr>
              <w:rStyle w:val="IndexLink"/>
              <w:sz w:val="24"/>
              <w:b/>
              <w:szCs w:val="24"/>
              <w:bCs/>
              <w:rFonts w:eastAsia="Times New Roman" w:cs="Times New Roman" w:ascii="Times New Roman" w:hAnsi="Times New Roman"/>
            </w:rPr>
            <w:fldChar w:fldCharType="separate"/>
          </w:r>
          <w:r>
            <w:rPr>
              <w:rStyle w:val="IndexLink"/>
              <w:rFonts w:eastAsia="Times New Roman" w:cs="Times New Roman" w:ascii="Times New Roman" w:hAnsi="Times New Roman"/>
              <w:b/>
              <w:bCs/>
              <w:sz w:val="24"/>
              <w:szCs w:val="24"/>
            </w:rPr>
            <w:tab/>
          </w:r>
          <w:r>
            <w:rPr>
              <w:rStyle w:val="IndexLink"/>
              <w:sz w:val="24"/>
              <w:b/>
              <w:szCs w:val="24"/>
              <w:bCs/>
              <w:rFonts w:eastAsia="Times New Roman" w:cs="Times New Roman" w:ascii="Times New Roman" w:hAnsi="Times New Roman"/>
            </w:rPr>
            <w:fldChar w:fldCharType="end"/>
          </w:r>
          <w:r>
            <w:rPr>
              <w:rStyle w:val="IndexLink"/>
              <w:sz w:val="24"/>
              <w:b/>
              <w:szCs w:val="24"/>
              <w:bCs/>
              <w:rFonts w:eastAsia="Times New Roman" w:cs="Times New Roman" w:ascii="Times New Roman" w:hAnsi="Times New Roman"/>
            </w:rPr>
            <w:fldChar w:fldCharType="end"/>
          </w:r>
        </w:p>
      </w:sdtContent>
    </w:sdt>
    <w:p>
      <w:pPr>
        <w:pStyle w:val="Heading1"/>
        <w:rPr/>
      </w:pPr>
      <w:r>
        <w:rPr/>
      </w:r>
      <w:bookmarkStart w:id="1" w:name="_49baog6ebzmu"/>
      <w:bookmarkStart w:id="2" w:name="_49baog6ebzmu"/>
      <w:bookmarkEnd w:id="2"/>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left"/>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u w:val="single"/>
        </w:rPr>
      </w:pPr>
      <w:r>
        <w:rPr>
          <w:rFonts w:eastAsia="Times New Roman" w:cs="Times New Roman" w:ascii="Times New Roman" w:hAnsi="Times New Roman"/>
          <w:sz w:val="34"/>
          <w:szCs w:val="34"/>
          <w:u w:val="single"/>
        </w:rPr>
      </w:r>
    </w:p>
    <w:p>
      <w:pPr>
        <w:pStyle w:val="normal1"/>
        <w:shd w:val="clear" w:fill="FFFFFF"/>
        <w:spacing w:lineRule="auto" w:line="360" w:before="120" w:after="0"/>
        <w:jc w:val="center"/>
        <w:rPr>
          <w:rFonts w:ascii="Times New Roman" w:hAnsi="Times New Roman" w:eastAsia="Times New Roman" w:cs="Times New Roman"/>
          <w:sz w:val="34"/>
          <w:szCs w:val="34"/>
        </w:rPr>
      </w:pPr>
      <w:r>
        <w:rPr>
          <w:rFonts w:eastAsia="Times New Roman" w:cs="Times New Roman" w:ascii="Times New Roman" w:hAnsi="Times New Roman"/>
          <w:sz w:val="34"/>
          <w:szCs w:val="34"/>
          <w:u w:val="single"/>
        </w:rPr>
        <w:t>Electricity Prices Soaring Due to Extreme Green Energy Policies</w:t>
      </w:r>
    </w:p>
    <w:p>
      <w:pPr>
        <w:pStyle w:val="normal1"/>
        <w:shd w:val="clear" w:fill="FFFFFF"/>
        <w:spacing w:lineRule="auto" w:line="360" w:before="120" w:after="0"/>
        <w:rPr>
          <w:rFonts w:ascii="Times New Roman" w:hAnsi="Times New Roman" w:eastAsia="Times New Roman" w:cs="Times New Roman"/>
          <w:color w:val="222222"/>
          <w:sz w:val="24"/>
          <w:szCs w:val="24"/>
        </w:rPr>
      </w:pPr>
      <w:r>
        <w:rPr>
          <w:rFonts w:eastAsia="Times New Roman" w:cs="Times New Roman" w:ascii="Times New Roman" w:hAnsi="Times New Roman"/>
          <w:color w:val="222222"/>
          <w:sz w:val="24"/>
          <w:szCs w:val="24"/>
        </w:rPr>
      </w:r>
    </w:p>
    <w:p>
      <w:pPr>
        <w:pStyle w:val="normal1"/>
        <w:shd w:val="clear" w:fill="FFFFFF"/>
        <w:spacing w:lineRule="auto" w:line="360" w:before="12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Throughout New York State, the nation, and many parts of the world, soaring energy costs are having a major deleterious impact on state and national economies, as well as individual energy consumers. </w:t>
      </w:r>
    </w:p>
    <w:p>
      <w:pPr>
        <w:pStyle w:val="normal1"/>
        <w:shd w:val="clear" w:fill="FFFFFF"/>
        <w:spacing w:lineRule="auto" w:line="360" w:before="12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hd w:val="clear" w:fill="FFFFFF"/>
        <w:spacing w:lineRule="auto" w:line="360" w:before="120" w:after="0"/>
        <w:rPr>
          <w:rFonts w:ascii="Times New Roman" w:hAnsi="Times New Roman" w:eastAsia="Times New Roman" w:cs="Times New Roman"/>
          <w:color w:val="2A2A2A"/>
          <w:sz w:val="24"/>
          <w:szCs w:val="24"/>
          <w:highlight w:val="white"/>
        </w:rPr>
      </w:pPr>
      <w:r>
        <w:rPr>
          <w:rFonts w:eastAsia="Times New Roman" w:cs="Times New Roman" w:ascii="Times New Roman" w:hAnsi="Times New Roman"/>
          <w:sz w:val="24"/>
          <w:szCs w:val="24"/>
        </w:rPr>
        <w:t xml:space="preserve">Since New York adopted a radical new green energy policy in 2019, </w:t>
      </w:r>
      <w:r>
        <w:rPr>
          <w:rFonts w:eastAsia="Times New Roman" w:cs="Times New Roman" w:ascii="Times New Roman" w:hAnsi="Times New Roman"/>
          <w:sz w:val="24"/>
          <w:szCs w:val="24"/>
          <w:highlight w:val="white"/>
        </w:rPr>
        <w:t>consumers have seen their average monthly rates for residential electric bills</w:t>
      </w:r>
      <w:r>
        <w:rPr>
          <w:rFonts w:eastAsia="Times New Roman" w:cs="Times New Roman" w:ascii="Times New Roman" w:hAnsi="Times New Roman"/>
          <w:color w:val="2A2A2A"/>
          <w:sz w:val="24"/>
          <w:szCs w:val="24"/>
          <w:highlight w:val="white"/>
        </w:rPr>
        <w:t xml:space="preserve"> </w:t>
      </w:r>
      <w:hyperlink r:id="rId3">
        <w:r>
          <w:rPr>
            <w:rStyle w:val="Style3"/>
            <w:rFonts w:eastAsia="Times New Roman" w:cs="Times New Roman" w:ascii="Times New Roman" w:hAnsi="Times New Roman"/>
            <w:color w:val="1155CC"/>
            <w:sz w:val="24"/>
            <w:szCs w:val="24"/>
            <w:u w:val="single"/>
          </w:rPr>
          <w:t>explode approximately 50% between 2019 and 2025</w:t>
        </w:r>
      </w:hyperlink>
      <w:r>
        <w:rPr>
          <w:rFonts w:eastAsia="Times New Roman" w:cs="Times New Roman" w:ascii="Times New Roman" w:hAnsi="Times New Roman"/>
          <w:color w:val="2A2A2A"/>
          <w:sz w:val="24"/>
          <w:szCs w:val="24"/>
          <w:highlight w:val="white"/>
        </w:rPr>
        <w:t>.</w:t>
      </w:r>
    </w:p>
    <w:p>
      <w:pPr>
        <w:pStyle w:val="normal1"/>
        <w:shd w:val="clear" w:fill="FFFFFF"/>
        <w:spacing w:lineRule="auto" w:line="360" w:before="120" w:after="0"/>
        <w:rPr>
          <w:rFonts w:ascii="Times New Roman" w:hAnsi="Times New Roman" w:eastAsia="Times New Roman" w:cs="Times New Roman"/>
          <w:color w:val="2A2A2A"/>
          <w:sz w:val="24"/>
          <w:szCs w:val="24"/>
          <w:highlight w:val="white"/>
        </w:rPr>
      </w:pPr>
      <w:r>
        <w:rPr>
          <w:rFonts w:eastAsia="Times New Roman" w:cs="Times New Roman" w:ascii="Times New Roman" w:hAnsi="Times New Roman"/>
          <w:color w:val="2A2A2A"/>
          <w:sz w:val="24"/>
          <w:szCs w:val="24"/>
          <w:highlight w:val="white"/>
        </w:rPr>
      </w:r>
    </w:p>
    <w:p>
      <w:pPr>
        <w:pStyle w:val="normal1"/>
        <w:shd w:val="clear" w:fill="FFFFFF"/>
        <w:spacing w:lineRule="auto" w:line="360" w:before="120" w:after="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According to the</w:t>
      </w:r>
      <w:r>
        <w:rPr>
          <w:rFonts w:eastAsia="Times New Roman" w:cs="Times New Roman" w:ascii="Times New Roman" w:hAnsi="Times New Roman"/>
          <w:color w:val="2A2A2A"/>
          <w:sz w:val="24"/>
          <w:szCs w:val="24"/>
          <w:highlight w:val="white"/>
        </w:rPr>
        <w:t xml:space="preserve"> </w:t>
      </w:r>
      <w:hyperlink r:id="rId4">
        <w:r>
          <w:rPr>
            <w:rStyle w:val="Style3"/>
            <w:rFonts w:eastAsia="Times New Roman" w:cs="Times New Roman" w:ascii="Times New Roman" w:hAnsi="Times New Roman"/>
            <w:color w:val="1155CC"/>
            <w:sz w:val="24"/>
            <w:szCs w:val="24"/>
            <w:highlight w:val="white"/>
            <w:u w:val="single"/>
          </w:rPr>
          <w:t>New York Post Editorial Board</w:t>
        </w:r>
      </w:hyperlink>
      <w:r>
        <w:rPr>
          <w:rFonts w:eastAsia="Times New Roman" w:cs="Times New Roman" w:ascii="Times New Roman" w:hAnsi="Times New Roman"/>
          <w:color w:val="2A2A2A"/>
          <w:sz w:val="24"/>
          <w:szCs w:val="24"/>
          <w:highlight w:val="white"/>
        </w:rPr>
        <w:t xml:space="preserve">, </w:t>
      </w:r>
      <w:r>
        <w:rPr>
          <w:rFonts w:eastAsia="Times New Roman" w:cs="Times New Roman" w:ascii="Times New Roman" w:hAnsi="Times New Roman"/>
          <w:sz w:val="24"/>
          <w:szCs w:val="24"/>
          <w:highlight w:val="white"/>
        </w:rPr>
        <w:t xml:space="preserve">“…it’s only going to get worse. Con Edison </w:t>
      </w:r>
      <w:hyperlink r:id="rId5">
        <w:r>
          <w:rPr>
            <w:rStyle w:val="Style3"/>
            <w:rFonts w:eastAsia="Times New Roman" w:cs="Times New Roman" w:ascii="Times New Roman" w:hAnsi="Times New Roman"/>
            <w:color w:val="1155CC"/>
            <w:sz w:val="24"/>
            <w:szCs w:val="24"/>
            <w:highlight w:val="white"/>
            <w:u w:val="single"/>
          </w:rPr>
          <w:t>is seeking hikes to electric and gas bills</w:t>
        </w:r>
      </w:hyperlink>
      <w:r>
        <w:rPr>
          <w:rFonts w:eastAsia="Times New Roman" w:cs="Times New Roman" w:ascii="Times New Roman" w:hAnsi="Times New Roman"/>
          <w:color w:val="2A2A2A"/>
          <w:sz w:val="24"/>
          <w:szCs w:val="24"/>
          <w:highlight w:val="white"/>
        </w:rPr>
        <w:t>,</w:t>
      </w:r>
      <w:r>
        <w:rPr>
          <w:rFonts w:eastAsia="Times New Roman" w:cs="Times New Roman" w:ascii="Times New Roman" w:hAnsi="Times New Roman"/>
          <w:sz w:val="24"/>
          <w:szCs w:val="24"/>
          <w:highlight w:val="white"/>
        </w:rPr>
        <w:t xml:space="preserve"> and the state’s Public Service Commission approved steep National Grid rate increases in August, which will add an extra $600 per year to many upstaters’ utility bills.”</w:t>
      </w:r>
    </w:p>
    <w:p>
      <w:pPr>
        <w:pStyle w:val="normal1"/>
        <w:shd w:val="clear" w:fill="FFFFFF"/>
        <w:spacing w:lineRule="auto" w:line="360" w:before="120" w:after="0"/>
        <w:ind w:hanging="0" w:left="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hd w:val="clear" w:fill="FFFFFF"/>
        <w:spacing w:lineRule="auto" w:line="360" w:before="120" w:after="0"/>
        <w:ind w:hanging="0" w:left="0"/>
        <w:rPr>
          <w:rFonts w:ascii="Times New Roman" w:hAnsi="Times New Roman" w:eastAsia="Times New Roman" w:cs="Times New Roman"/>
          <w:sz w:val="24"/>
          <w:szCs w:val="24"/>
        </w:rPr>
      </w:pPr>
      <w:r>
        <w:rPr>
          <w:rFonts w:eastAsia="Times New Roman" w:cs="Times New Roman" w:ascii="Times New Roman" w:hAnsi="Times New Roman"/>
          <w:sz w:val="24"/>
          <w:szCs w:val="24"/>
        </w:rPr>
        <w:t>According to Zilvinas Silenas of The Empire Center for Public Policy:</w:t>
      </w:r>
    </w:p>
    <w:p>
      <w:pPr>
        <w:pStyle w:val="normal1"/>
        <w:shd w:val="clear" w:fill="FFFFFF"/>
        <w:spacing w:lineRule="auto" w:line="360" w:before="120" w:after="0"/>
        <w:ind w:hanging="0" w:left="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hd w:val="clear" w:fill="FFFFFF"/>
        <w:spacing w:lineRule="auto" w:line="360" w:before="120" w:after="0"/>
        <w:ind w:hanging="0" w:left="720"/>
        <w:rPr>
          <w:rFonts w:ascii="Times New Roman" w:hAnsi="Times New Roman" w:eastAsia="Times New Roman" w:cs="Times New Roman"/>
          <w:color w:val="222222"/>
          <w:sz w:val="24"/>
          <w:szCs w:val="24"/>
        </w:rPr>
      </w:pPr>
      <w:r>
        <w:rPr>
          <w:rFonts w:eastAsia="Times New Roman" w:cs="Times New Roman" w:ascii="Times New Roman" w:hAnsi="Times New Roman"/>
          <w:sz w:val="24"/>
          <w:szCs w:val="24"/>
        </w:rPr>
        <w:t xml:space="preserve">For March 2025, the average price of electricity in New York was </w:t>
      </w:r>
      <w:hyperlink r:id="rId6">
        <w:r>
          <w:rPr>
            <w:rStyle w:val="Style3"/>
            <w:rFonts w:eastAsia="Times New Roman" w:cs="Times New Roman" w:ascii="Times New Roman" w:hAnsi="Times New Roman"/>
            <w:color w:val="1155CC"/>
            <w:sz w:val="24"/>
            <w:szCs w:val="24"/>
            <w:u w:val="single"/>
          </w:rPr>
          <w:t>estimated at $0.25 per kWh for residential users and $0.095 per kWh for industrial users</w:t>
        </w:r>
      </w:hyperlink>
      <w:r>
        <w:rPr>
          <w:rFonts w:eastAsia="Times New Roman" w:cs="Times New Roman" w:ascii="Times New Roman" w:hAnsi="Times New Roman"/>
          <w:color w:val="222222"/>
          <w:sz w:val="24"/>
          <w:szCs w:val="24"/>
        </w:rPr>
        <w:t xml:space="preserve">. </w:t>
      </w:r>
      <w:r>
        <w:rPr>
          <w:rFonts w:eastAsia="Times New Roman" w:cs="Times New Roman" w:ascii="Times New Roman" w:hAnsi="Times New Roman"/>
          <w:sz w:val="24"/>
          <w:szCs w:val="24"/>
        </w:rPr>
        <w:t>These rates are significantly above the U.S. averages of $0.17 per kWh and $0.08 per kWh, respective</w:t>
      </w:r>
      <w:r>
        <w:rPr>
          <w:rFonts w:eastAsia="Times New Roman" w:cs="Times New Roman" w:ascii="Times New Roman" w:hAnsi="Times New Roman"/>
          <w:color w:val="222222"/>
          <w:sz w:val="24"/>
          <w:szCs w:val="24"/>
        </w:rPr>
        <w:t xml:space="preserve">ly. </w:t>
      </w:r>
    </w:p>
    <w:p>
      <w:pPr>
        <w:pStyle w:val="normal1"/>
        <w:shd w:val="clear" w:fill="FFFFFF"/>
        <w:spacing w:lineRule="auto" w:line="360" w:before="120" w:after="0"/>
        <w:ind w:hanging="0" w:left="720"/>
        <w:rPr>
          <w:rFonts w:ascii="Times New Roman" w:hAnsi="Times New Roman" w:eastAsia="Times New Roman" w:cs="Times New Roman"/>
          <w:color w:val="222222"/>
          <w:sz w:val="24"/>
          <w:szCs w:val="24"/>
        </w:rPr>
      </w:pPr>
      <w:r>
        <w:rPr>
          <w:rFonts w:eastAsia="Times New Roman" w:cs="Times New Roman" w:ascii="Times New Roman" w:hAnsi="Times New Roman"/>
          <w:color w:val="222222"/>
          <w:sz w:val="24"/>
          <w:szCs w:val="24"/>
        </w:rPr>
      </w:r>
    </w:p>
    <w:p>
      <w:pPr>
        <w:pStyle w:val="normal1"/>
        <w:shd w:val="clear" w:fill="FFFFFF"/>
        <w:spacing w:lineRule="auto" w:line="360" w:before="120" w:after="0"/>
        <w:ind w:hanging="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Households in New York pay </w:t>
      </w:r>
      <w:r>
        <w:rPr>
          <w:rFonts w:eastAsia="Times New Roman" w:cs="Times New Roman" w:ascii="Times New Roman" w:hAnsi="Times New Roman"/>
          <w:b/>
          <w:bCs/>
          <w:sz w:val="24"/>
          <w:szCs w:val="24"/>
        </w:rPr>
        <w:t>48 percent more</w:t>
      </w:r>
      <w:r>
        <w:rPr>
          <w:rFonts w:eastAsia="Times New Roman" w:cs="Times New Roman" w:ascii="Times New Roman" w:hAnsi="Times New Roman"/>
          <w:sz w:val="24"/>
          <w:szCs w:val="24"/>
        </w:rPr>
        <w:t xml:space="preserve">, and industry pays </w:t>
      </w:r>
      <w:r>
        <w:rPr>
          <w:rFonts w:eastAsia="Times New Roman" w:cs="Times New Roman" w:ascii="Times New Roman" w:hAnsi="Times New Roman"/>
          <w:b/>
          <w:bCs/>
          <w:sz w:val="24"/>
          <w:szCs w:val="24"/>
        </w:rPr>
        <w:t>15 percent more</w:t>
      </w:r>
      <w:r>
        <w:rPr>
          <w:rFonts w:eastAsia="Times New Roman" w:cs="Times New Roman" w:ascii="Times New Roman" w:hAnsi="Times New Roman"/>
          <w:sz w:val="24"/>
          <w:szCs w:val="24"/>
        </w:rPr>
        <w:t xml:space="preserve"> for electricity than the national average, in large part due to the state’s aggressive green energy policies. (Emphasis added.)</w:t>
      </w:r>
    </w:p>
    <w:p>
      <w:pPr>
        <w:pStyle w:val="normal1"/>
        <w:shd w:val="clear" w:fill="FFFFFF"/>
        <w:spacing w:lineRule="auto" w:line="360" w:before="120" w:after="0"/>
        <w:ind w:hanging="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hd w:val="clear" w:fill="FFFFFF"/>
        <w:spacing w:lineRule="auto" w:line="360" w:before="12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Jordan McGillis and John Kechum, in</w:t>
      </w:r>
      <w:hyperlink r:id="rId7">
        <w:r>
          <w:rPr>
            <w:rStyle w:val="Style3"/>
            <w:rFonts w:eastAsia="Times New Roman" w:cs="Times New Roman" w:ascii="Times New Roman" w:hAnsi="Times New Roman"/>
            <w:color w:val="1155CC"/>
            <w:sz w:val="24"/>
            <w:szCs w:val="24"/>
            <w:u w:val="single"/>
          </w:rPr>
          <w:t xml:space="preserve"> an article</w:t>
        </w:r>
      </w:hyperlink>
      <w:r>
        <w:rPr>
          <w:rFonts w:eastAsia="Times New Roman" w:cs="Times New Roman" w:ascii="Times New Roman" w:hAnsi="Times New Roman"/>
          <w:sz w:val="24"/>
          <w:szCs w:val="24"/>
        </w:rPr>
        <w:t xml:space="preserve"> for the New York Post, noted:</w:t>
      </w:r>
    </w:p>
    <w:p>
      <w:pPr>
        <w:pStyle w:val="normal1"/>
        <w:shd w:val="clear" w:fill="FFFFFF"/>
        <w:spacing w:lineRule="auto" w:line="360" w:before="12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hd w:val="clear" w:fill="FFFFFF"/>
        <w:spacing w:lineRule="auto" w:line="360" w:before="120" w:after="0"/>
        <w:ind w:hanging="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According to the latest federal data, New Yorkers statewide pay 24.4 cents per kilowatt-hour for power. City households are hit even harder, paying over 31 cents per kilowatt-hour. Meanwhile, Pennsylvanians pay just 17.6 cents.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mc:AlternateContent>
          <mc:Choice Requires="wps">
            <w:drawing>
              <wp:inline distT="0" distB="0" distL="0" distR="0">
                <wp:extent cx="5943600" cy="19050"/>
                <wp:effectExtent l="0" t="0" r="0" b="0"/>
                <wp:docPr id="2" name=""/>
                <a:graphic xmlns:a="http://schemas.openxmlformats.org/drawingml/2006/main">
                  <a:graphicData uri="http://schemas.microsoft.com/office/word/2010/wordprocessingShape">
                    <wps:wsp>
                      <wps:cNvSpPr/>
                      <wps:nvSpPr>
                        <wps:cNvPr id="3" name=""/>
                        <wps:cNvSpPr/>
                      </wps:nvSpPr>
                      <wps:spPr>
                        <a:xfrm>
                          <a:off x="0" y="0"/>
                          <a:ext cx="594360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67.9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The rising costs in New York can be seen with more detail in the chart below:</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Source:</w:t>
      </w:r>
      <w:hyperlink r:id="rId8">
        <w:r>
          <w:rPr>
            <w:rStyle w:val="Style3"/>
            <w:rFonts w:eastAsia="Times New Roman" w:cs="Times New Roman" w:ascii="Times New Roman" w:hAnsi="Times New Roman"/>
            <w:color w:val="1155CC"/>
            <w:sz w:val="24"/>
            <w:szCs w:val="24"/>
            <w:u w:val="single"/>
          </w:rPr>
          <w:t xml:space="preserve"> NYSERDA Monthly Average Retail Price of Electricity - Residential</w:t>
        </w:r>
      </w:hyperlink>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Prices are cents per Kilowatt-hour (¢/kWh)</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Style w:val="Table1"/>
        <w:tblW w:w="5070" w:type="dxa"/>
        <w:jc w:val="left"/>
        <w:tblInd w:w="0" w:type="dxa"/>
        <w:tblLayout w:type="fixed"/>
        <w:tblCellMar>
          <w:top w:w="100" w:type="dxa"/>
          <w:left w:w="20" w:type="dxa"/>
          <w:bottom w:w="100" w:type="dxa"/>
          <w:right w:w="20" w:type="dxa"/>
        </w:tblCellMar>
        <w:tblLook w:val="0600"/>
      </w:tblPr>
      <w:tblGrid>
        <w:gridCol w:w="1095"/>
        <w:gridCol w:w="615"/>
        <w:gridCol w:w="585"/>
        <w:gridCol w:w="584"/>
        <w:gridCol w:w="555"/>
        <w:gridCol w:w="510"/>
        <w:gridCol w:w="615"/>
        <w:gridCol w:w="510"/>
      </w:tblGrid>
      <w:tr>
        <w:trPr>
          <w:trHeight w:val="793"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2025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2024</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2023</w:t>
            </w:r>
          </w:p>
        </w:tc>
        <w:tc>
          <w:tcPr>
            <w:tcW w:w="55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2022</w:t>
            </w:r>
          </w:p>
        </w:tc>
        <w:tc>
          <w:tcPr>
            <w:tcW w:w="510"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2021</w:t>
            </w:r>
          </w:p>
        </w:tc>
        <w:tc>
          <w:tcPr>
            <w:tcW w:w="61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 xml:space="preserve">2020 </w:t>
            </w:r>
          </w:p>
        </w:tc>
        <w:tc>
          <w:tcPr>
            <w:tcW w:w="510"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2019</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January</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25.31</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23.44</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23.57</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21.0</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18.3</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17.6</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17.3</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February</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26.20</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24.23</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23.60</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21.6</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18.8</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17.4 </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17.6</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March</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25.43</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23.64</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21.18</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19.7</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18.0</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17.2 </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16.8</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April</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25.67</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22.97</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19.81</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21.1</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18.5</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17.3 </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17.5</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May</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23.60</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20.47</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21.9</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19.9</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18.5</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17.3</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June</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24.51</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21.63</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22.4</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19.5</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19.1</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18.5</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July</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25.01</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22.27</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21.9</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19.6</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18.7 </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18.6</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August</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25.21</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22.33</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21.2</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19.9</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18.4 </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18.4</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September</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24.98</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23.23</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24.0</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20.5</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19.0</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18.7</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October</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24.98</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22.70</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23.3</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20.6</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19.3 </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18.6</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November</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24.69</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22.72</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23.7</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20.0</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19.0</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18.0</w:t>
            </w:r>
          </w:p>
        </w:tc>
      </w:tr>
      <w:tr>
        <w:trPr>
          <w:trHeight w:val="435" w:hRule="atLeast"/>
        </w:trPr>
        <w:tc>
          <w:tcPr>
            <w:tcW w:w="1095" w:type="dxa"/>
            <w:tcBorders>
              <w:top w:val="single" w:sz="6" w:space="0" w:color="717F81"/>
              <w:left w:val="single" w:sz="6" w:space="0" w:color="717F81"/>
              <w:bottom w:val="single" w:sz="6" w:space="0" w:color="717F81"/>
              <w:right w:val="single" w:sz="6" w:space="0" w:color="717F81"/>
            </w:tcBorders>
          </w:tcPr>
          <w:p>
            <w:pPr>
              <w:pStyle w:val="normal1"/>
              <w:jc w:val="center"/>
              <w:rPr>
                <w:rFonts w:ascii="Times New Roman" w:hAnsi="Times New Roman" w:eastAsia="Times New Roman" w:cs="Times New Roman"/>
                <w:color w:val="212529"/>
                <w:sz w:val="24"/>
                <w:szCs w:val="24"/>
              </w:rPr>
            </w:pPr>
            <w:r>
              <w:rPr>
                <w:rFonts w:eastAsia="Times New Roman" w:cs="Times New Roman" w:ascii="Times New Roman" w:hAnsi="Times New Roman"/>
                <w:b/>
                <w:bCs/>
                <w:color w:val="212529"/>
                <w:sz w:val="24"/>
                <w:szCs w:val="24"/>
              </w:rPr>
              <w:t>December</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 xml:space="preserve"> </w:t>
            </w:r>
          </w:p>
        </w:tc>
        <w:tc>
          <w:tcPr>
            <w:tcW w:w="58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24.37</w:t>
            </w:r>
          </w:p>
        </w:tc>
        <w:tc>
          <w:tcPr>
            <w:tcW w:w="584"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22.52</w:t>
            </w:r>
          </w:p>
        </w:tc>
        <w:tc>
          <w:tcPr>
            <w:tcW w:w="55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22.8</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19.5</w:t>
            </w:r>
          </w:p>
        </w:tc>
        <w:tc>
          <w:tcPr>
            <w:tcW w:w="615"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18.3</w:t>
            </w:r>
          </w:p>
        </w:tc>
        <w:tc>
          <w:tcPr>
            <w:tcW w:w="510" w:type="dxa"/>
            <w:tcBorders>
              <w:top w:val="single" w:sz="6" w:space="0" w:color="717F81"/>
              <w:left w:val="single" w:sz="6" w:space="0" w:color="717F81"/>
              <w:bottom w:val="single" w:sz="6" w:space="0" w:color="717F81"/>
              <w:right w:val="single" w:sz="6" w:space="0" w:color="717F81"/>
            </w:tcBorders>
          </w:tcPr>
          <w:p>
            <w:pPr>
              <w:pStyle w:val="normal1"/>
              <w:rPr>
                <w:rFonts w:ascii="Times New Roman" w:hAnsi="Times New Roman" w:eastAsia="Times New Roman" w:cs="Times New Roman"/>
                <w:color w:val="212529"/>
                <w:sz w:val="24"/>
                <w:szCs w:val="24"/>
              </w:rPr>
            </w:pPr>
            <w:r>
              <w:rPr>
                <w:rFonts w:eastAsia="Times New Roman" w:cs="Times New Roman" w:ascii="Times New Roman" w:hAnsi="Times New Roman"/>
                <w:color w:val="212529"/>
                <w:sz w:val="24"/>
                <w:szCs w:val="24"/>
              </w:rPr>
              <w:t>17.3</w:t>
            </w:r>
          </w:p>
        </w:tc>
      </w:tr>
    </w:tbl>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high cost in New York and New Jersey as of October 2025 can be compared to the cost in other states around the nation in the </w:t>
      </w:r>
      <w:hyperlink r:id="rId9">
        <w:r>
          <w:rPr>
            <w:rStyle w:val="Style3"/>
            <w:rFonts w:eastAsia="Times New Roman" w:cs="Times New Roman" w:ascii="Times New Roman" w:hAnsi="Times New Roman"/>
            <w:color w:val="1155CC"/>
            <w:sz w:val="24"/>
            <w:szCs w:val="24"/>
            <w:u w:val="single"/>
          </w:rPr>
          <w:t>chart below</w:t>
        </w:r>
      </w:hyperlink>
      <w:r>
        <w:rPr>
          <w:rFonts w:eastAsia="Times New Roman" w:cs="Times New Roman" w:ascii="Times New Roman" w:hAnsi="Times New Roman"/>
          <w:sz w:val="24"/>
          <w:szCs w:val="24"/>
        </w:rPr>
        <w:t>:</w:t>
      </w:r>
    </w:p>
    <w:p>
      <w:pPr>
        <w:pStyle w:val="normal1"/>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1"/>
        <w:rPr>
          <w:rFonts w:ascii="Times New Roman" w:hAnsi="Times New Roman" w:eastAsia="Times New Roman" w:cs="Times New Roman"/>
          <w:sz w:val="14"/>
          <w:szCs w:val="14"/>
        </w:rPr>
      </w:pPr>
      <w:r>
        <w:rPr>
          <w:rFonts w:eastAsia="Times New Roman" w:cs="Times New Roman" w:ascii="Times New Roman" w:hAnsi="Times New Roman"/>
          <w:sz w:val="14"/>
          <w:szCs w:val="14"/>
        </w:rPr>
      </w:r>
    </w:p>
    <w:tbl>
      <w:tblPr>
        <w:tblStyle w:val="Table2"/>
        <w:tblW w:w="9360" w:type="dxa"/>
        <w:jc w:val="left"/>
        <w:tblInd w:w="0" w:type="dxa"/>
        <w:tblLayout w:type="fixed"/>
        <w:tblCellMar>
          <w:top w:w="160" w:type="dxa"/>
          <w:left w:w="160" w:type="dxa"/>
          <w:bottom w:w="160" w:type="dxa"/>
          <w:right w:w="160" w:type="dxa"/>
        </w:tblCellMar>
        <w:tblLook w:val="0600"/>
      </w:tblPr>
      <w:tblGrid>
        <w:gridCol w:w="2378"/>
        <w:gridCol w:w="2130"/>
        <w:gridCol w:w="2240"/>
        <w:gridCol w:w="2611"/>
      </w:tblGrid>
      <w:tr>
        <w:trPr>
          <w:trHeight w:val="1395" w:hRule="atLeast"/>
        </w:trPr>
        <w:tc>
          <w:tcPr>
            <w:tcW w:w="2378" w:type="dxa"/>
            <w:tcBorders>
              <w:top w:val="single" w:sz="6" w:space="0" w:color="333333"/>
              <w:left w:val="single" w:sz="6" w:space="0" w:color="333333"/>
              <w:bottom w:val="single" w:sz="6" w:space="0" w:color="333333"/>
              <w:right w:val="single" w:sz="6" w:space="0" w:color="333333"/>
            </w:tcBorders>
            <w:shd w:fill="F2F2F2" w:val="clear"/>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b/>
                <w:bCs/>
                <w:color w:val="011A2D"/>
              </w:rPr>
              <w:t xml:space="preserve">State </w:t>
            </w:r>
            <w:r>
              <w:rPr>
                <w:rFonts w:eastAsia="Times New Roman" w:cs="Times New Roman" w:ascii="Times New Roman" w:hAnsi="Times New Roman"/>
                <w:b/>
                <w:bCs/>
                <w:color w:val="555555"/>
                <w:sz w:val="17"/>
                <w:szCs w:val="17"/>
              </w:rPr>
              <w:t>▲</w:t>
            </w:r>
          </w:p>
        </w:tc>
        <w:tc>
          <w:tcPr>
            <w:tcW w:w="2130" w:type="dxa"/>
            <w:tcBorders>
              <w:top w:val="single" w:sz="6" w:space="0" w:color="333333"/>
              <w:left w:val="single" w:sz="6" w:space="0" w:color="333333"/>
              <w:bottom w:val="single" w:sz="6" w:space="0" w:color="333333"/>
              <w:right w:val="single" w:sz="6" w:space="0" w:color="333333"/>
            </w:tcBorders>
            <w:shd w:fill="DDDDDD" w:val="clear"/>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b/>
                <w:bCs/>
                <w:color w:val="011A2D"/>
              </w:rPr>
              <w:t>Residential (¢/kWh)</w:t>
            </w:r>
          </w:p>
        </w:tc>
        <w:tc>
          <w:tcPr>
            <w:tcW w:w="2240" w:type="dxa"/>
            <w:tcBorders>
              <w:top w:val="single" w:sz="6" w:space="0" w:color="333333"/>
              <w:left w:val="single" w:sz="6" w:space="0" w:color="333333"/>
              <w:bottom w:val="single" w:sz="6" w:space="0" w:color="333333"/>
              <w:right w:val="single" w:sz="6" w:space="0" w:color="333333"/>
            </w:tcBorders>
            <w:shd w:fill="F2F2F2" w:val="clear"/>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b/>
                <w:bCs/>
                <w:color w:val="011A2D"/>
              </w:rPr>
              <w:t>Commercial (¢/kWh)</w:t>
            </w:r>
          </w:p>
        </w:tc>
        <w:tc>
          <w:tcPr>
            <w:tcW w:w="2611" w:type="dxa"/>
            <w:tcBorders>
              <w:top w:val="single" w:sz="6" w:space="0" w:color="333333"/>
              <w:left w:val="single" w:sz="6" w:space="0" w:color="333333"/>
              <w:bottom w:val="single" w:sz="6" w:space="0" w:color="333333"/>
              <w:right w:val="single" w:sz="6" w:space="0" w:color="333333"/>
            </w:tcBorders>
            <w:shd w:fill="F2F2F2" w:val="clear"/>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b/>
                <w:bCs/>
                <w:color w:val="011A2D"/>
              </w:rPr>
              <w:t>Calculated Average (Res. &amp; Com.)</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Alabama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16.00</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14.44</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15.22¢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Alaska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26.88</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22.93</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24.91¢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Arizona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15.28</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12.98</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14.13¢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Arkansas</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13.33</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10.84</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12.09¢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California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33.52</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26.69</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30.11¢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Colorado</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16.16</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13.51</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14.84¢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Connecticut</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27.24</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21.36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24.30¢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Delaware</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18.15</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12.45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15.30¢ per kWh</w:t>
            </w:r>
          </w:p>
        </w:tc>
      </w:tr>
      <w:tr>
        <w:trPr>
          <w:trHeight w:val="103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District of Columbia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22.70</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20.37</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21.54¢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Florida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15.36</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11.48</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13.42¢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Georgia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16.00</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12.37</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14.19¢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Hawaii</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40.96</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35.54</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38.25¢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Idaho</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12.07</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9.00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10.54¢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Illinois</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18.33</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12.86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15.60¢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Indiana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16.60</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13.71</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15.16¢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Iowa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15.39</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12.64</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14.02¢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Kansas</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15.00</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12.07</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13.54¢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Kentucky</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13.62</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11.88</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12.75¢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Louisiana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12.64</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11.15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11.90¢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Maine</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28.14</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21.05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24.60¢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Maryland</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19.33</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14.82</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17.08¢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Massachusetts</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30.37</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23.10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26.74¢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Michigan</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20.85</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14.87</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17.86¢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Minnesota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17.14</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13.63</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15.39¢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Mississippi</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13.94</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12.85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13.40¢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Missouri</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15.84</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12.42</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14.13¢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Montana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14.85</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13.14</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14.00¢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Nebraska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13.17</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9.35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11.26¢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Nevada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11.42</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8.80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10.11¢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New Hampshire</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23.51</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19.46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21.49¢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New Jersey</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24.88</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18.00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21.44¢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New Mexico</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14.77</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11.46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13.12¢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New York</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26.53</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21.72</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24.13¢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North Carolina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13.33</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9.76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11.55¢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North Dakota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13.68</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8.05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10.87¢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Ohio</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17.52</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11.35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14.44¢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Oklahoma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13.62</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9.77</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11.70¢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Oregon</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15.77</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11.60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13.69¢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Pennsylvania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19.70</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12.37</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16.04¢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Rhode Island</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26.84</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22.15</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24.50¢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South Carolina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14.71</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11.00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12.86¢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South Dakota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14.23</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11.27</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12.75¢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Tennessee</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13.98</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13.49</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13.74¢ per kWh</w:t>
            </w:r>
          </w:p>
        </w:tc>
      </w:tr>
      <w:tr>
        <w:trPr>
          <w:trHeight w:val="70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hyperlink r:id="rId10">
              <w:r>
                <w:rPr>
                  <w:rStyle w:val="Style3"/>
                  <w:rFonts w:eastAsia="Times New Roman" w:cs="Times New Roman" w:ascii="Times New Roman" w:hAnsi="Times New Roman"/>
                  <w:color w:val="02A4F5"/>
                </w:rPr>
                <w:t>Texas</w:t>
              </w:r>
            </w:hyperlink>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15.23</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8.60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11.92¢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Utah</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13.12</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10.58</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11.85¢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Vermont</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23.21</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19.79</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21.50¢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Virginia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15.41</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9.66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12.54¢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Washington</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12.98</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11.30</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12.14¢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West Virginia</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15.82</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11.49</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13.66¢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Wisconsin</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18.57</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13.36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15.97¢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Wyoming</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14.89</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9.78</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12.34¢ per kWh</w:t>
            </w:r>
          </w:p>
        </w:tc>
      </w:tr>
      <w:tr>
        <w:trPr>
          <w:trHeight w:val="675" w:hRule="atLeast"/>
        </w:trPr>
        <w:tc>
          <w:tcPr>
            <w:tcW w:w="2378"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rPr>
                <w:rFonts w:ascii="Times New Roman" w:hAnsi="Times New Roman" w:eastAsia="Times New Roman" w:cs="Times New Roman"/>
                <w:color w:val="011A2D"/>
              </w:rPr>
            </w:pPr>
            <w:r>
              <w:rPr>
                <w:rFonts w:eastAsia="Times New Roman" w:cs="Times New Roman" w:ascii="Times New Roman" w:hAnsi="Times New Roman"/>
                <w:color w:val="011A2D"/>
              </w:rPr>
              <w:t>U.S. Average</w:t>
            </w:r>
          </w:p>
        </w:tc>
        <w:tc>
          <w:tcPr>
            <w:tcW w:w="213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17.47</w:t>
            </w:r>
          </w:p>
        </w:tc>
        <w:tc>
          <w:tcPr>
            <w:tcW w:w="2240"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12.96</w:t>
            </w:r>
          </w:p>
        </w:tc>
        <w:tc>
          <w:tcPr>
            <w:tcW w:w="2611" w:type="dxa"/>
            <w:tcBorders>
              <w:top w:val="single" w:sz="6" w:space="0" w:color="333333"/>
              <w:left w:val="single" w:sz="6" w:space="0" w:color="333333"/>
              <w:bottom w:val="single" w:sz="6" w:space="0" w:color="333333"/>
              <w:right w:val="single" w:sz="6" w:space="0" w:color="333333"/>
            </w:tcBorders>
            <w:vAlign w:val="center"/>
          </w:tcPr>
          <w:p>
            <w:pPr>
              <w:pStyle w:val="normal1"/>
              <w:spacing w:lineRule="auto" w:line="240" w:before="300" w:after="300"/>
              <w:jc w:val="center"/>
              <w:rPr>
                <w:rFonts w:ascii="Times New Roman" w:hAnsi="Times New Roman" w:eastAsia="Times New Roman" w:cs="Times New Roman"/>
                <w:color w:val="011A2D"/>
              </w:rPr>
            </w:pPr>
            <w:r>
              <w:rPr>
                <w:rFonts w:eastAsia="Times New Roman" w:cs="Times New Roman" w:ascii="Times New Roman" w:hAnsi="Times New Roman"/>
                <w:color w:val="011A2D"/>
              </w:rPr>
              <w:t>15.22¢ per kW</w:t>
            </w:r>
          </w:p>
        </w:tc>
      </w:tr>
    </w:tbl>
    <w:p>
      <w:pPr>
        <w:pStyle w:val="normal1"/>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 2019, the New York State Legislature enacted a sweeping law, the </w:t>
      </w:r>
      <w:hyperlink r:id="rId11">
        <w:r>
          <w:rPr>
            <w:rStyle w:val="Style3"/>
            <w:rFonts w:eastAsia="Times New Roman" w:cs="Times New Roman" w:ascii="Times New Roman" w:hAnsi="Times New Roman"/>
            <w:color w:val="1155CC"/>
            <w:sz w:val="24"/>
            <w:szCs w:val="24"/>
            <w:u w:val="single"/>
          </w:rPr>
          <w:t>Climate Leadership and Community Protection Act (CLCPA)</w:t>
        </w:r>
      </w:hyperlink>
      <w:r>
        <w:rPr>
          <w:rFonts w:eastAsia="Times New Roman" w:cs="Times New Roman" w:ascii="Times New Roman" w:hAnsi="Times New Roman"/>
          <w:sz w:val="24"/>
          <w:szCs w:val="24"/>
        </w:rPr>
        <w:t xml:space="preserve">, which imposed mandates seeking a </w:t>
      </w:r>
      <w:hyperlink r:id="rId12">
        <w:r>
          <w:rPr>
            <w:rStyle w:val="Style3"/>
            <w:rFonts w:eastAsia="Times New Roman" w:cs="Times New Roman" w:ascii="Times New Roman" w:hAnsi="Times New Roman"/>
            <w:color w:val="1155CC"/>
            <w:sz w:val="24"/>
            <w:szCs w:val="24"/>
            <w:u w:val="single"/>
          </w:rPr>
          <w:t>40% reduction</w:t>
        </w:r>
      </w:hyperlink>
      <w:r>
        <w:rPr>
          <w:rFonts w:eastAsia="Times New Roman" w:cs="Times New Roman" w:ascii="Times New Roman" w:hAnsi="Times New Roman"/>
          <w:sz w:val="24"/>
          <w:szCs w:val="24"/>
        </w:rPr>
        <w:t xml:space="preserve"> in greenhouse gas emissions (GHG) by 2030, and zero greenhouse gas emissions (GHG) by 2050. It also calls for the state to have 100% renewable electricity usage by 2040.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But recently, New York State government has been </w:t>
      </w:r>
      <w:hyperlink r:id="rId13">
        <w:r>
          <w:rPr>
            <w:rStyle w:val="Style3"/>
            <w:rFonts w:eastAsia="Times New Roman" w:cs="Times New Roman" w:ascii="Times New Roman" w:hAnsi="Times New Roman"/>
            <w:color w:val="1155CC"/>
            <w:sz w:val="24"/>
            <w:szCs w:val="24"/>
            <w:u w:val="single"/>
          </w:rPr>
          <w:t>quietly telling the utilities to slow walk the decommissioning of the gas fire power plants</w:t>
        </w:r>
      </w:hyperlink>
      <w:r>
        <w:rPr>
          <w:rFonts w:eastAsia="Times New Roman" w:cs="Times New Roman" w:ascii="Times New Roman" w:hAnsi="Times New Roman"/>
          <w:sz w:val="24"/>
          <w:szCs w:val="24"/>
        </w:rPr>
        <w:t>. They don’t want their green extreme friends to hear about it, but our state leaders are finally conceding that their  mandate that calls for 100% of New York power to be from renewable energy was ridiculously unrealistic.</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Many warned years ago, dating back to that impractical law, that this was all showboating by then-Governor Cuomo and others trying to curry favor with the environmental leftists as they were seeking higher office.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was never realistic that we would be able to get off of oil and gas within that time.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What the state did was dramatically increase our electric rates and shift boatloads of money to their special interest allies in the alternative energy industries. Ironically, New York’s carbon footprint </w:t>
      </w:r>
      <w:hyperlink r:id="rId14">
        <w:r>
          <w:rPr>
            <w:rStyle w:val="Style3"/>
            <w:rFonts w:eastAsia="Times New Roman" w:cs="Times New Roman" w:ascii="Times New Roman" w:hAnsi="Times New Roman"/>
            <w:color w:val="1155CC"/>
            <w:sz w:val="24"/>
            <w:szCs w:val="24"/>
            <w:u w:val="single"/>
          </w:rPr>
          <w:t>was worse</w:t>
        </w:r>
      </w:hyperlink>
      <w:r>
        <w:rPr>
          <w:rFonts w:eastAsia="Times New Roman" w:cs="Times New Roman" w:ascii="Times New Roman" w:hAnsi="Times New Roman"/>
          <w:sz w:val="24"/>
          <w:szCs w:val="24"/>
        </w:rPr>
        <w:t xml:space="preserve"> after the passage of this bill, but our electric rates are far higher.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Now the officials have to worry about blackouts, so they have to face reality and make sure that our march toward renewables is gradual and more realistic.</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law had a goal of </w:t>
      </w:r>
      <w:hyperlink r:id="rId15">
        <w:r>
          <w:rPr>
            <w:rStyle w:val="Style3"/>
            <w:rFonts w:eastAsia="Times New Roman" w:cs="Times New Roman" w:ascii="Times New Roman" w:hAnsi="Times New Roman"/>
            <w:color w:val="1155CC"/>
            <w:sz w:val="24"/>
            <w:szCs w:val="24"/>
            <w:u w:val="single"/>
          </w:rPr>
          <w:t>reducing</w:t>
        </w:r>
      </w:hyperlink>
      <w:r>
        <w:rPr>
          <w:rFonts w:eastAsia="Times New Roman" w:cs="Times New Roman" w:ascii="Times New Roman" w:hAnsi="Times New Roman"/>
          <w:sz w:val="24"/>
          <w:szCs w:val="24"/>
        </w:rPr>
        <w:t xml:space="preserve"> greenhouse gas emissions by </w:t>
      </w:r>
      <w:hyperlink r:id="rId16">
        <w:r>
          <w:rPr>
            <w:rStyle w:val="Style3"/>
            <w:rFonts w:eastAsia="Times New Roman" w:cs="Times New Roman" w:ascii="Times New Roman" w:hAnsi="Times New Roman"/>
            <w:color w:val="1155CC"/>
            <w:sz w:val="24"/>
            <w:szCs w:val="24"/>
            <w:u w:val="single"/>
          </w:rPr>
          <w:t>40% from 1990 levels by 2030</w:t>
        </w:r>
      </w:hyperlink>
      <w:r>
        <w:rPr>
          <w:rFonts w:eastAsia="Times New Roman" w:cs="Times New Roman" w:ascii="Times New Roman" w:hAnsi="Times New Roman"/>
          <w:sz w:val="24"/>
          <w:szCs w:val="24"/>
        </w:rPr>
        <w:t xml:space="preserve">. However, there is much to be done to meet this goal. The NYS Part 496 1990 has baseline emissions of </w:t>
      </w:r>
      <w:hyperlink r:id="rId17">
        <w:r>
          <w:rPr>
            <w:rStyle w:val="Style3"/>
            <w:rFonts w:eastAsia="Times New Roman" w:cs="Times New Roman" w:ascii="Times New Roman" w:hAnsi="Times New Roman"/>
            <w:color w:val="1155CC"/>
            <w:sz w:val="24"/>
            <w:szCs w:val="24"/>
            <w:u w:val="single"/>
          </w:rPr>
          <w:t>404.26 mmt CO₂e</w:t>
        </w:r>
      </w:hyperlink>
      <w:r>
        <w:rPr>
          <w:rFonts w:eastAsia="Times New Roman" w:cs="Times New Roman" w:ascii="Times New Roman" w:hAnsi="Times New Roman"/>
          <w:sz w:val="24"/>
          <w:szCs w:val="24"/>
        </w:rPr>
        <w:t xml:space="preserve">. In 2020, the total emissions in New York State were </w:t>
      </w:r>
      <w:hyperlink r:id="rId18">
        <w:r>
          <w:rPr>
            <w:rStyle w:val="Style3"/>
            <w:rFonts w:eastAsia="Times New Roman" w:cs="Times New Roman" w:ascii="Times New Roman" w:hAnsi="Times New Roman"/>
            <w:color w:val="1155CC"/>
            <w:sz w:val="24"/>
            <w:szCs w:val="24"/>
            <w:u w:val="single"/>
          </w:rPr>
          <w:t>344.85 CO₂e</w:t>
        </w:r>
      </w:hyperlink>
      <w:r>
        <w:rPr>
          <w:rFonts w:eastAsia="Times New Roman" w:cs="Times New Roman" w:ascii="Times New Roman" w:hAnsi="Times New Roman"/>
          <w:sz w:val="24"/>
          <w:szCs w:val="24"/>
        </w:rPr>
        <w:t xml:space="preserve">, representing a 15% reduction from the 1990 emissions levels. To reach the 2030 limit of </w:t>
      </w:r>
      <w:hyperlink r:id="rId19">
        <w:r>
          <w:rPr>
            <w:rStyle w:val="Style3"/>
            <w:rFonts w:eastAsia="Times New Roman" w:cs="Times New Roman" w:ascii="Times New Roman" w:hAnsi="Times New Roman"/>
            <w:color w:val="1155CC"/>
            <w:sz w:val="24"/>
            <w:szCs w:val="24"/>
            <w:u w:val="single"/>
          </w:rPr>
          <w:t>245.9 CO₂e</w:t>
        </w:r>
      </w:hyperlink>
      <w:r>
        <w:rPr>
          <w:rFonts w:eastAsia="Times New Roman" w:cs="Times New Roman" w:ascii="Times New Roman" w:hAnsi="Times New Roman"/>
          <w:sz w:val="24"/>
          <w:szCs w:val="24"/>
        </w:rPr>
        <w:t xml:space="preserve">, an additional 29% reduction would be required.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Interestingly, greenhouse emissions in the US have actually </w:t>
      </w:r>
      <w:hyperlink r:id="rId20">
        <w:r>
          <w:rPr>
            <w:rStyle w:val="Style3"/>
            <w:rFonts w:eastAsia="Times New Roman" w:cs="Times New Roman" w:ascii="Times New Roman" w:hAnsi="Times New Roman"/>
            <w:color w:val="1155CC"/>
            <w:sz w:val="24"/>
            <w:szCs w:val="24"/>
            <w:u w:val="single"/>
          </w:rPr>
          <w:t>dropped since 2005 by 14%</w:t>
        </w:r>
      </w:hyperlink>
      <w:r>
        <w:rPr>
          <w:rFonts w:eastAsia="Times New Roman" w:cs="Times New Roman" w:ascii="Times New Roman" w:hAnsi="Times New Roman"/>
          <w:sz w:val="24"/>
          <w:szCs w:val="24"/>
        </w:rPr>
        <w:t xml:space="preserve"> bucking the trend worldwide, where it was actually increasing by </w:t>
      </w:r>
      <w:hyperlink r:id="rId21">
        <w:r>
          <w:rPr>
            <w:rStyle w:val="Style3"/>
            <w:rFonts w:eastAsia="Times New Roman" w:cs="Times New Roman" w:ascii="Times New Roman" w:hAnsi="Times New Roman"/>
            <w:color w:val="1155CC"/>
            <w:sz w:val="24"/>
            <w:szCs w:val="24"/>
            <w:u w:val="single"/>
          </w:rPr>
          <w:t>over 20%</w:t>
        </w:r>
      </w:hyperlink>
      <w:r>
        <w:rPr>
          <w:rFonts w:eastAsia="Times New Roman" w:cs="Times New Roman" w:ascii="Times New Roman" w:hAnsi="Times New Roman"/>
          <w:sz w:val="24"/>
          <w:szCs w:val="24"/>
        </w:rPr>
        <w:t xml:space="preserve"> This was primarily the result of switching from dirtier coal and oil to a cleaner fossil fuel, natural gas.</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New York’s Rising Rates</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Here in New York, it is undeniable that state ratepayers are shouldering some of the nation’s steepest power costs: as of May, the average monthly residential bill </w:t>
      </w:r>
      <w:hyperlink r:id="rId22">
        <w:r>
          <w:rPr>
            <w:rStyle w:val="Style3"/>
            <w:rFonts w:eastAsia="Times New Roman" w:cs="Times New Roman" w:ascii="Times New Roman" w:hAnsi="Times New Roman"/>
            <w:color w:val="1155CC"/>
            <w:sz w:val="24"/>
            <w:szCs w:val="24"/>
            <w:u w:val="single"/>
          </w:rPr>
          <w:t>was up 13% over the previous year and 54% since May 2019</w:t>
        </w:r>
      </w:hyperlink>
      <w:r>
        <w:rPr>
          <w:rFonts w:eastAsia="Times New Roman" w:cs="Times New Roman" w:ascii="Times New Roman" w:hAnsi="Times New Roman"/>
          <w:sz w:val="24"/>
          <w:szCs w:val="24"/>
        </w:rPr>
        <w:t>, with energy prices roughly</w:t>
      </w:r>
      <w:hyperlink r:id="rId23">
        <w:r>
          <w:rPr>
            <w:rStyle w:val="Style3"/>
            <w:rFonts w:eastAsia="Times New Roman" w:cs="Times New Roman" w:ascii="Times New Roman" w:hAnsi="Times New Roman"/>
            <w:sz w:val="24"/>
            <w:szCs w:val="24"/>
          </w:rPr>
          <w:t xml:space="preserve"> </w:t>
        </w:r>
      </w:hyperlink>
      <w:hyperlink r:id="rId24">
        <w:r>
          <w:rPr>
            <w:rStyle w:val="Style3"/>
            <w:rFonts w:eastAsia="Times New Roman" w:cs="Times New Roman" w:ascii="Times New Roman" w:hAnsi="Times New Roman"/>
            <w:color w:val="1155CC"/>
            <w:sz w:val="24"/>
            <w:szCs w:val="24"/>
            <w:u w:val="single"/>
          </w:rPr>
          <w:t>33% above</w:t>
        </w:r>
      </w:hyperlink>
      <w:r>
        <w:rPr>
          <w:rFonts w:eastAsia="Times New Roman" w:cs="Times New Roman" w:ascii="Times New Roman" w:hAnsi="Times New Roman"/>
          <w:sz w:val="24"/>
          <w:szCs w:val="24"/>
        </w:rPr>
        <w:t xml:space="preserve"> the national average.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Residential customers paid more than 24¢ per kWh—about </w:t>
      </w:r>
      <w:hyperlink r:id="rId25">
        <w:r>
          <w:rPr>
            <w:rStyle w:val="Style3"/>
            <w:rFonts w:eastAsia="Times New Roman" w:cs="Times New Roman" w:ascii="Times New Roman" w:hAnsi="Times New Roman"/>
            <w:color w:val="1155CC"/>
            <w:sz w:val="24"/>
            <w:szCs w:val="24"/>
            <w:u w:val="single"/>
          </w:rPr>
          <w:t>50% higher</w:t>
        </w:r>
      </w:hyperlink>
      <w:r>
        <w:rPr>
          <w:rFonts w:eastAsia="Times New Roman" w:cs="Times New Roman" w:ascii="Times New Roman" w:hAnsi="Times New Roman"/>
          <w:sz w:val="24"/>
          <w:szCs w:val="24"/>
        </w:rPr>
        <w:t xml:space="preserve"> than the U.S. average.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The average monthly ConEd bill is now</w:t>
      </w:r>
      <w:hyperlink r:id="rId26">
        <w:r>
          <w:rPr>
            <w:rStyle w:val="Style3"/>
            <w:rFonts w:eastAsia="Times New Roman" w:cs="Times New Roman" w:ascii="Times New Roman" w:hAnsi="Times New Roman"/>
            <w:sz w:val="24"/>
            <w:szCs w:val="24"/>
          </w:rPr>
          <w:t xml:space="preserve"> </w:t>
        </w:r>
      </w:hyperlink>
      <w:hyperlink r:id="rId27">
        <w:r>
          <w:rPr>
            <w:rStyle w:val="Style3"/>
            <w:rFonts w:eastAsia="Times New Roman" w:cs="Times New Roman" w:ascii="Times New Roman" w:hAnsi="Times New Roman"/>
            <w:color w:val="1155CC"/>
            <w:sz w:val="24"/>
            <w:szCs w:val="24"/>
            <w:u w:val="single"/>
          </w:rPr>
          <w:t>$154 higher</w:t>
        </w:r>
      </w:hyperlink>
      <w:r>
        <w:rPr>
          <w:rFonts w:eastAsia="Times New Roman" w:cs="Times New Roman" w:ascii="Times New Roman" w:hAnsi="Times New Roman"/>
          <w:sz w:val="24"/>
          <w:szCs w:val="24"/>
        </w:rPr>
        <w:t xml:space="preserve"> than five years ago despite U.S. wind and solar capacity nearly tripling since 2017, and ConEd is seeking another increase—11% for electricity and 13% for gas—to keep pace with the state’s green-energy targets.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Citing a 2023 FERC study warning that New York’s grid is at risk, some editorialists are  contending that state policies have turned utilities into “</w:t>
      </w:r>
      <w:hyperlink r:id="rId28">
        <w:r>
          <w:rPr>
            <w:rStyle w:val="Style3"/>
            <w:rFonts w:eastAsia="Times New Roman" w:cs="Times New Roman" w:ascii="Times New Roman" w:hAnsi="Times New Roman"/>
            <w:color w:val="1155CC"/>
            <w:sz w:val="24"/>
            <w:szCs w:val="24"/>
            <w:u w:val="single"/>
          </w:rPr>
          <w:t>energy bagmen</w:t>
        </w:r>
      </w:hyperlink>
      <w:r>
        <w:rPr>
          <w:rFonts w:eastAsia="Times New Roman" w:cs="Times New Roman" w:ascii="Times New Roman" w:hAnsi="Times New Roman"/>
          <w:sz w:val="24"/>
          <w:szCs w:val="24"/>
        </w:rPr>
        <w:t>” and urges Albany to rethink all-electric mandates and curb what it regards as wasteful green-energy subsidies.</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Decades ago, electricity bills were based on </w:t>
      </w:r>
      <w:hyperlink r:id="rId29">
        <w:r>
          <w:rPr>
            <w:rStyle w:val="Style3"/>
            <w:rFonts w:eastAsia="Times New Roman" w:cs="Times New Roman" w:ascii="Times New Roman" w:hAnsi="Times New Roman"/>
            <w:color w:val="1155CC"/>
            <w:sz w:val="24"/>
            <w:szCs w:val="24"/>
            <w:u w:val="single"/>
          </w:rPr>
          <w:t>usage, supply cost, and the utility company’s charge</w:t>
        </w:r>
      </w:hyperlink>
      <w:r>
        <w:rPr>
          <w:rFonts w:eastAsia="Times New Roman" w:cs="Times New Roman" w:ascii="Times New Roman" w:hAnsi="Times New Roman"/>
          <w:sz w:val="24"/>
          <w:szCs w:val="24"/>
        </w:rPr>
        <w:t xml:space="preserve"> for delivering that electricity. The Public Service Commission (PSC) uses a </w:t>
      </w:r>
      <w:hyperlink r:id="rId30">
        <w:r>
          <w:rPr>
            <w:rStyle w:val="Style3"/>
            <w:rFonts w:eastAsia="Times New Roman" w:cs="Times New Roman" w:ascii="Times New Roman" w:hAnsi="Times New Roman"/>
            <w:color w:val="1155CC"/>
            <w:sz w:val="24"/>
            <w:szCs w:val="24"/>
            <w:u w:val="single"/>
          </w:rPr>
          <w:t>formula</w:t>
        </w:r>
      </w:hyperlink>
      <w:r>
        <w:rPr>
          <w:rFonts w:eastAsia="Times New Roman" w:cs="Times New Roman" w:ascii="Times New Roman" w:hAnsi="Times New Roman"/>
          <w:sz w:val="24"/>
          <w:szCs w:val="24"/>
        </w:rPr>
        <w:t xml:space="preserve"> to determine the amount of profit the utility will be allowed to keep. In 1996, the PSC directed utility companies </w:t>
      </w:r>
      <w:hyperlink r:id="rId31">
        <w:r>
          <w:rPr>
            <w:rStyle w:val="Style3"/>
            <w:rFonts w:eastAsia="Times New Roman" w:cs="Times New Roman" w:ascii="Times New Roman" w:hAnsi="Times New Roman"/>
            <w:color w:val="1155CC"/>
            <w:sz w:val="24"/>
            <w:szCs w:val="24"/>
            <w:u w:val="single"/>
          </w:rPr>
          <w:t>to add a “system benefits charge”</w:t>
        </w:r>
      </w:hyperlink>
      <w:r>
        <w:rPr>
          <w:rFonts w:eastAsia="Times New Roman" w:cs="Times New Roman" w:ascii="Times New Roman" w:hAnsi="Times New Roman"/>
          <w:sz w:val="24"/>
          <w:szCs w:val="24"/>
        </w:rPr>
        <w:t xml:space="preserve"> to electricity bills.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Despite it costing less than </w:t>
      </w:r>
      <w:hyperlink r:id="rId32">
        <w:r>
          <w:rPr>
            <w:rStyle w:val="Style3"/>
            <w:rFonts w:eastAsia="Times New Roman" w:cs="Times New Roman" w:ascii="Times New Roman" w:hAnsi="Times New Roman"/>
            <w:color w:val="1155CC"/>
            <w:sz w:val="24"/>
            <w:szCs w:val="24"/>
            <w:u w:val="single"/>
          </w:rPr>
          <w:t>$3 per month</w:t>
        </w:r>
      </w:hyperlink>
      <w:r>
        <w:rPr>
          <w:rFonts w:eastAsia="Times New Roman" w:cs="Times New Roman" w:ascii="Times New Roman" w:hAnsi="Times New Roman"/>
          <w:sz w:val="24"/>
          <w:szCs w:val="24"/>
        </w:rPr>
        <w:t xml:space="preserve"> for a typical home in New York City, it opened the door for utility companies to </w:t>
      </w:r>
      <w:hyperlink r:id="rId33">
        <w:r>
          <w:rPr>
            <w:rStyle w:val="Style3"/>
            <w:rFonts w:eastAsia="Times New Roman" w:cs="Times New Roman" w:ascii="Times New Roman" w:hAnsi="Times New Roman"/>
            <w:color w:val="1155CC"/>
            <w:sz w:val="24"/>
            <w:szCs w:val="24"/>
            <w:u w:val="single"/>
          </w:rPr>
          <w:t>collect additional funds</w:t>
        </w:r>
      </w:hyperlink>
      <w:r>
        <w:rPr>
          <w:rFonts w:eastAsia="Times New Roman" w:cs="Times New Roman" w:ascii="Times New Roman" w:hAnsi="Times New Roman"/>
          <w:sz w:val="24"/>
          <w:szCs w:val="24"/>
        </w:rPr>
        <w:t xml:space="preserve"> outside of their approved rates, to help subsidize state renewable-energy projects.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New York State then joined the Regional Greenhouse Gas Initiative (RGGI), a cap-and-trade program that required power plants to </w:t>
      </w:r>
      <w:hyperlink r:id="rId34">
        <w:r>
          <w:rPr>
            <w:rStyle w:val="Style3"/>
            <w:rFonts w:eastAsia="Times New Roman" w:cs="Times New Roman" w:ascii="Times New Roman" w:hAnsi="Times New Roman"/>
            <w:color w:val="1155CC"/>
            <w:sz w:val="24"/>
            <w:szCs w:val="24"/>
            <w:u w:val="single"/>
          </w:rPr>
          <w:t>buy allowances</w:t>
        </w:r>
      </w:hyperlink>
      <w:r>
        <w:rPr>
          <w:rFonts w:eastAsia="Times New Roman" w:cs="Times New Roman" w:ascii="Times New Roman" w:hAnsi="Times New Roman"/>
          <w:sz w:val="24"/>
          <w:szCs w:val="24"/>
        </w:rPr>
        <w:t xml:space="preserve"> for their carbon dioxide emissions. Proceeds from the RGGI go into a separate public authority controlled by </w:t>
      </w:r>
      <w:hyperlink r:id="rId35">
        <w:r>
          <w:rPr>
            <w:rStyle w:val="Style3"/>
            <w:rFonts w:eastAsia="Times New Roman" w:cs="Times New Roman" w:ascii="Times New Roman" w:hAnsi="Times New Roman"/>
            <w:color w:val="1155CC"/>
            <w:sz w:val="24"/>
            <w:szCs w:val="24"/>
            <w:u w:val="single"/>
          </w:rPr>
          <w:t>gubernatorial appointees</w:t>
        </w:r>
      </w:hyperlink>
      <w:r>
        <w:rPr>
          <w:rFonts w:eastAsia="Times New Roman" w:cs="Times New Roman" w:ascii="Times New Roman" w:hAnsi="Times New Roman"/>
          <w:sz w:val="24"/>
          <w:szCs w:val="24"/>
        </w:rPr>
        <w:t xml:space="preserve"> instead of the state’s general fund. In 2024, the RGGI’s proceeds were </w:t>
      </w:r>
      <w:hyperlink r:id="rId36">
        <w:r>
          <w:rPr>
            <w:rStyle w:val="Style3"/>
            <w:rFonts w:eastAsia="Times New Roman" w:cs="Times New Roman" w:ascii="Times New Roman" w:hAnsi="Times New Roman"/>
            <w:color w:val="1155CC"/>
            <w:sz w:val="24"/>
            <w:szCs w:val="24"/>
            <w:u w:val="single"/>
          </w:rPr>
          <w:t>$236 million</w:t>
        </w:r>
      </w:hyperlink>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 New York, the average customer </w:t>
      </w:r>
      <w:hyperlink r:id="rId37">
        <w:r>
          <w:rPr>
            <w:rStyle w:val="Style3"/>
            <w:rFonts w:eastAsia="Times New Roman" w:cs="Times New Roman" w:ascii="Times New Roman" w:hAnsi="Times New Roman"/>
            <w:color w:val="1155CC"/>
            <w:sz w:val="24"/>
            <w:szCs w:val="24"/>
            <w:u w:val="single"/>
          </w:rPr>
          <w:t>spent more than $200 per month on electricity</w:t>
        </w:r>
      </w:hyperlink>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That number will increase further as the New York State Electric and Gas Company said it would charge</w:t>
      </w:r>
      <w:hyperlink r:id="rId38">
        <w:r>
          <w:rPr>
            <w:rStyle w:val="Style3"/>
            <w:rFonts w:eastAsia="Times New Roman" w:cs="Times New Roman" w:ascii="Times New Roman" w:hAnsi="Times New Roman"/>
            <w:color w:val="1155CC"/>
            <w:sz w:val="24"/>
            <w:szCs w:val="24"/>
            <w:u w:val="single"/>
          </w:rPr>
          <w:t xml:space="preserve"> </w:t>
        </w:r>
      </w:hyperlink>
      <w:r>
        <w:fldChar w:fldCharType="begin"/>
      </w:r>
      <w:r>
        <w:rPr>
          <w:rStyle w:val="Style3"/>
          <w:sz w:val="24"/>
          <w:u w:val="single"/>
          <w:szCs w:val="24"/>
          <w:rFonts w:eastAsia="Times New Roman" w:cs="Times New Roman" w:ascii="Times New Roman" w:hAnsi="Times New Roman"/>
          <w:color w:val="1155CC"/>
        </w:rPr>
        <w:instrText xml:space="preserve"> HYPERLINK "https://www.lewisborony.gov/media/36171" \l ":~:text=July%202,%202025-,On%20Monday,%20New%20York%20State%20Electric%20&amp;%20Gas%20(NYSEG),93,%20&amp;%2095%20Utility%20Feedback%20Survey"</w:instrText>
      </w:r>
      <w:r>
        <w:rPr>
          <w:rStyle w:val="Style3"/>
          <w:sz w:val="24"/>
          <w:u w:val="single"/>
          <w:szCs w:val="24"/>
          <w:rFonts w:eastAsia="Times New Roman" w:cs="Times New Roman" w:ascii="Times New Roman" w:hAnsi="Times New Roman"/>
          <w:color w:val="1155CC"/>
        </w:rPr>
        <w:fldChar w:fldCharType="separate"/>
      </w:r>
      <w:r>
        <w:rPr>
          <w:rStyle w:val="Style3"/>
          <w:rFonts w:eastAsia="Times New Roman" w:cs="Times New Roman" w:ascii="Times New Roman" w:hAnsi="Times New Roman"/>
          <w:color w:val="1155CC"/>
          <w:sz w:val="24"/>
          <w:szCs w:val="24"/>
          <w:u w:val="single"/>
        </w:rPr>
        <w:t xml:space="preserve"> 23.7</w:t>
      </w:r>
      <w:r>
        <w:rPr>
          <w:rStyle w:val="Style3"/>
          <w:sz w:val="24"/>
          <w:u w:val="single"/>
          <w:szCs w:val="24"/>
          <w:rFonts w:eastAsia="Times New Roman" w:cs="Times New Roman" w:ascii="Times New Roman" w:hAnsi="Times New Roman"/>
          <w:color w:val="1155CC"/>
        </w:rPr>
        <w:fldChar w:fldCharType="end"/>
      </w:r>
      <w:r>
        <w:rPr>
          <w:rFonts w:eastAsia="Times New Roman" w:cs="Times New Roman" w:ascii="Times New Roman" w:hAnsi="Times New Roman"/>
          <w:sz w:val="24"/>
          <w:szCs w:val="24"/>
        </w:rPr>
        <w:t>% more in 2026.</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Additionally, New York State’s Public Service Commission approved National Grid rate increases that may potentially </w:t>
      </w:r>
      <w:hyperlink r:id="rId39">
        <w:r>
          <w:rPr>
            <w:rStyle w:val="Style3"/>
            <w:rFonts w:eastAsia="Times New Roman" w:cs="Times New Roman" w:ascii="Times New Roman" w:hAnsi="Times New Roman"/>
            <w:color w:val="1155CC"/>
            <w:sz w:val="24"/>
            <w:szCs w:val="24"/>
            <w:u w:val="single"/>
          </w:rPr>
          <w:t>raise utility bills in upstate New York by $600 a year</w:t>
        </w:r>
      </w:hyperlink>
      <w:r>
        <w:rPr>
          <w:rFonts w:eastAsia="Times New Roman" w:cs="Times New Roman" w:ascii="Times New Roman" w:hAnsi="Times New Roman"/>
          <w:sz w:val="24"/>
          <w:szCs w:val="24"/>
        </w:rPr>
        <w:t xml:space="preserve">. Moreover, Con Edison continues to request additional rate hikes, including one that would increase average gas and energy bills to a level costing </w:t>
      </w:r>
      <w:hyperlink r:id="rId40">
        <w:r>
          <w:rPr>
            <w:rStyle w:val="Style3"/>
            <w:rFonts w:eastAsia="Times New Roman" w:cs="Times New Roman" w:ascii="Times New Roman" w:hAnsi="Times New Roman"/>
            <w:color w:val="1155CC"/>
            <w:sz w:val="24"/>
            <w:szCs w:val="24"/>
            <w:u w:val="single"/>
          </w:rPr>
          <w:t>$154 higher than what was charged in 2020</w:t>
        </w:r>
      </w:hyperlink>
      <w:r>
        <w:rPr>
          <w:rFonts w:eastAsia="Times New Roman" w:cs="Times New Roman" w:ascii="Times New Roman" w:hAnsi="Times New Roman"/>
          <w:sz w:val="24"/>
          <w:szCs w:val="24"/>
        </w:rPr>
        <w:t xml:space="preserve"> ($500 as compared to $346).</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Whereas in 2020, the average Con Edison customer paid $346 monthly ( </w:t>
      </w:r>
      <w:hyperlink r:id="rId41">
        <w:r>
          <w:rPr>
            <w:rStyle w:val="Style3"/>
            <w:rFonts w:eastAsia="Times New Roman" w:cs="Times New Roman" w:ascii="Times New Roman" w:hAnsi="Times New Roman"/>
            <w:color w:val="1155CC"/>
            <w:sz w:val="24"/>
            <w:szCs w:val="24"/>
            <w:u w:val="single"/>
          </w:rPr>
          <w:t>$176.36 for gas at 100 therms per month and $170 for electricity</w:t>
        </w:r>
      </w:hyperlink>
      <w:r>
        <w:rPr>
          <w:rFonts w:eastAsia="Times New Roman" w:cs="Times New Roman" w:ascii="Times New Roman" w:hAnsi="Times New Roman"/>
          <w:sz w:val="24"/>
          <w:szCs w:val="24"/>
        </w:rPr>
        <w:t xml:space="preserve">) at 600 kilowatt-hours per month, in 2025, customers could be paying </w:t>
      </w:r>
      <w:hyperlink r:id="rId42">
        <w:r>
          <w:rPr>
            <w:rStyle w:val="Style3"/>
            <w:rFonts w:eastAsia="Times New Roman" w:cs="Times New Roman" w:ascii="Times New Roman" w:hAnsi="Times New Roman"/>
            <w:color w:val="1155CC"/>
            <w:sz w:val="24"/>
            <w:szCs w:val="24"/>
            <w:u w:val="single"/>
          </w:rPr>
          <w:t>$500 per month, with $289 going to gas and $211 going to electricity</w:t>
        </w:r>
      </w:hyperlink>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Furthermore, New Yorkers may be further strained by having to pay </w:t>
      </w:r>
      <w:hyperlink r:id="rId43">
        <w:r>
          <w:rPr>
            <w:rStyle w:val="Style3"/>
            <w:rFonts w:eastAsia="Times New Roman" w:cs="Times New Roman" w:ascii="Times New Roman" w:hAnsi="Times New Roman"/>
            <w:color w:val="1155CC"/>
            <w:sz w:val="24"/>
            <w:szCs w:val="24"/>
            <w:u w:val="single"/>
          </w:rPr>
          <w:t>2.5 times the market rate for electricity</w:t>
        </w:r>
      </w:hyperlink>
      <w:r>
        <w:rPr>
          <w:rFonts w:eastAsia="Times New Roman" w:cs="Times New Roman" w:ascii="Times New Roman" w:hAnsi="Times New Roman"/>
          <w:sz w:val="24"/>
          <w:szCs w:val="24"/>
        </w:rPr>
        <w:t xml:space="preserve"> that is generated by the Empire Wind One wind farm. This sudden jump, over double current rates, will make it even harder for New Yorkers to afford electricity.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New York’s Climate Change Superfund Act has also received much pushback, with the Justice Department </w:t>
      </w:r>
      <w:hyperlink r:id="rId44">
        <w:r>
          <w:rPr>
            <w:rStyle w:val="Style3"/>
            <w:rFonts w:eastAsia="Times New Roman" w:cs="Times New Roman" w:ascii="Times New Roman" w:hAnsi="Times New Roman"/>
            <w:color w:val="1155CC"/>
            <w:sz w:val="24"/>
            <w:szCs w:val="24"/>
            <w:u w:val="single"/>
          </w:rPr>
          <w:t>seeking to have it declared unconstitutional</w:t>
        </w:r>
      </w:hyperlink>
      <w:r>
        <w:rPr>
          <w:rFonts w:eastAsia="Times New Roman" w:cs="Times New Roman" w:ascii="Times New Roman" w:hAnsi="Times New Roman"/>
          <w:sz w:val="24"/>
          <w:szCs w:val="24"/>
        </w:rPr>
        <w:t xml:space="preserve">. The law </w:t>
      </w:r>
      <w:hyperlink r:id="rId45">
        <w:r>
          <w:rPr>
            <w:rStyle w:val="Style3"/>
            <w:rFonts w:eastAsia="Times New Roman" w:cs="Times New Roman" w:ascii="Times New Roman" w:hAnsi="Times New Roman"/>
            <w:color w:val="1155CC"/>
            <w:sz w:val="24"/>
            <w:szCs w:val="24"/>
            <w:u w:val="single"/>
          </w:rPr>
          <w:t>intends to collect $75 billion</w:t>
        </w:r>
      </w:hyperlink>
      <w:r>
        <w:rPr>
          <w:rFonts w:eastAsia="Times New Roman" w:cs="Times New Roman" w:ascii="Times New Roman" w:hAnsi="Times New Roman"/>
          <w:sz w:val="24"/>
          <w:szCs w:val="24"/>
        </w:rPr>
        <w:t xml:space="preserve"> from the biggest polluters, such as oil companies, over 25 years. Some lawmakers believe that oil companies </w:t>
      </w:r>
      <w:hyperlink r:id="rId46">
        <w:r>
          <w:rPr>
            <w:rStyle w:val="Style3"/>
            <w:rFonts w:eastAsia="Times New Roman" w:cs="Times New Roman" w:ascii="Times New Roman" w:hAnsi="Times New Roman"/>
            <w:color w:val="1155CC"/>
            <w:sz w:val="24"/>
            <w:szCs w:val="24"/>
            <w:u w:val="single"/>
          </w:rPr>
          <w:t>should pay $3 billion</w:t>
        </w:r>
      </w:hyperlink>
      <w:r>
        <w:rPr>
          <w:rFonts w:eastAsia="Times New Roman" w:cs="Times New Roman" w:ascii="Times New Roman" w:hAnsi="Times New Roman"/>
          <w:sz w:val="24"/>
          <w:szCs w:val="24"/>
        </w:rPr>
        <w:t xml:space="preserve"> each year for the next 25 years as a payback for having used fossil fuels as their mode of generating electricity.</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Detractors not only question the legal validity of the measure but also express concern that it will only further burden </w:t>
      </w:r>
      <w:hyperlink r:id="rId47">
        <w:r>
          <w:rPr>
            <w:rStyle w:val="Style3"/>
            <w:rFonts w:eastAsia="Times New Roman" w:cs="Times New Roman" w:ascii="Times New Roman" w:hAnsi="Times New Roman"/>
            <w:color w:val="1155CC"/>
            <w:sz w:val="24"/>
            <w:szCs w:val="24"/>
            <w:u w:val="single"/>
          </w:rPr>
          <w:t>small businesses and ordinary people</w:t>
        </w:r>
      </w:hyperlink>
      <w:r>
        <w:rPr>
          <w:rFonts w:eastAsia="Times New Roman" w:cs="Times New Roman" w:ascii="Times New Roman" w:hAnsi="Times New Roman"/>
          <w:sz w:val="24"/>
          <w:szCs w:val="24"/>
        </w:rPr>
        <w:t xml:space="preserve"> who would be the ones footing the hefty bill after costs are passed along to them. The companies that would end up having to pay these damages would eventually raise their prices, </w:t>
      </w:r>
      <w:hyperlink r:id="rId48">
        <w:r>
          <w:rPr>
            <w:rStyle w:val="Style3"/>
            <w:rFonts w:eastAsia="Times New Roman" w:cs="Times New Roman" w:ascii="Times New Roman" w:hAnsi="Times New Roman"/>
            <w:color w:val="1155CC"/>
            <w:sz w:val="24"/>
            <w:szCs w:val="24"/>
            <w:u w:val="single"/>
          </w:rPr>
          <w:t>effectively passing them on to consumers</w:t>
        </w:r>
      </w:hyperlink>
      <w:r>
        <w:rPr>
          <w:rFonts w:eastAsia="Times New Roman" w:cs="Times New Roman" w:ascii="Times New Roman" w:hAnsi="Times New Roman"/>
          <w:sz w:val="24"/>
          <w:szCs w:val="24"/>
        </w:rPr>
        <w:t xml:space="preserve">. The law would needlessly punish businesses and consumers under the </w:t>
      </w:r>
      <w:hyperlink r:id="rId49">
        <w:r>
          <w:rPr>
            <w:rStyle w:val="Style3"/>
            <w:rFonts w:eastAsia="Times New Roman" w:cs="Times New Roman" w:ascii="Times New Roman" w:hAnsi="Times New Roman"/>
            <w:color w:val="1155CC"/>
            <w:sz w:val="24"/>
            <w:szCs w:val="24"/>
            <w:u w:val="single"/>
          </w:rPr>
          <w:t>guise of saving taxpayers money</w:t>
        </w:r>
      </w:hyperlink>
      <w:r>
        <w:rPr>
          <w:rFonts w:eastAsia="Times New Roman" w:cs="Times New Roman" w:ascii="Times New Roman" w:hAnsi="Times New Roman"/>
          <w:sz w:val="24"/>
          <w:szCs w:val="24"/>
        </w:rPr>
        <w:t>.</w:t>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b/>
          <w:bCs/>
          <w:sz w:val="24"/>
          <w:szCs w:val="24"/>
        </w:rPr>
        <w:t>New Jersey Facing a Rate Crisis as Well</w:t>
      </w:r>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average residential customer in New Jersey saw an increase of approximately </w:t>
      </w:r>
      <w:hyperlink r:id="rId50">
        <w:r>
          <w:rPr>
            <w:rStyle w:val="Style3"/>
            <w:rFonts w:eastAsia="Times New Roman" w:cs="Times New Roman" w:ascii="Times New Roman" w:hAnsi="Times New Roman"/>
            <w:color w:val="1155CC"/>
            <w:sz w:val="24"/>
            <w:szCs w:val="24"/>
            <w:u w:val="single"/>
          </w:rPr>
          <w:t>17 to 20%</w:t>
        </w:r>
      </w:hyperlink>
      <w:r>
        <w:rPr>
          <w:rFonts w:eastAsia="Times New Roman" w:cs="Times New Roman" w:ascii="Times New Roman" w:hAnsi="Times New Roman"/>
          <w:sz w:val="24"/>
          <w:szCs w:val="24"/>
        </w:rPr>
        <w:t xml:space="preserve"> in 2025. One resident of Clark, New Jersey, claimed her electricity bill rose from </w:t>
      </w:r>
      <w:hyperlink r:id="rId51">
        <w:r>
          <w:rPr>
            <w:rStyle w:val="Style3"/>
            <w:rFonts w:eastAsia="Times New Roman" w:cs="Times New Roman" w:ascii="Times New Roman" w:hAnsi="Times New Roman"/>
            <w:color w:val="1155CC"/>
            <w:sz w:val="24"/>
            <w:szCs w:val="24"/>
            <w:u w:val="single"/>
          </w:rPr>
          <w:t>$174 in June to over $300 in July</w:t>
        </w:r>
      </w:hyperlink>
      <w:r>
        <w:rPr>
          <w:rFonts w:eastAsia="Times New Roman" w:cs="Times New Roman" w:ascii="Times New Roman" w:hAnsi="Times New Roman"/>
          <w:sz w:val="24"/>
          <w:szCs w:val="24"/>
        </w:rPr>
        <w:t xml:space="preserve">. This is despite New Jersey’s Public Service Electric &amp; Gas having told Marinez to </w:t>
      </w:r>
      <w:hyperlink r:id="rId52">
        <w:r>
          <w:rPr>
            <w:rStyle w:val="Style3"/>
            <w:rFonts w:eastAsia="Times New Roman" w:cs="Times New Roman" w:ascii="Times New Roman" w:hAnsi="Times New Roman"/>
            <w:color w:val="1155CC"/>
            <w:sz w:val="24"/>
            <w:szCs w:val="24"/>
            <w:u w:val="single"/>
          </w:rPr>
          <w:t>expect an increase of 17%</w:t>
        </w:r>
      </w:hyperlink>
      <w:r>
        <w:rPr>
          <w:rFonts w:eastAsia="Times New Roman" w:cs="Times New Roman" w:ascii="Times New Roman" w:hAnsi="Times New Roman"/>
          <w:sz w:val="24"/>
          <w:szCs w:val="24"/>
        </w:rPr>
        <w:t xml:space="preserve"> instead.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rate hikes are mainly due to both </w:t>
      </w:r>
      <w:hyperlink r:id="rId53">
        <w:r>
          <w:rPr>
            <w:rStyle w:val="Style3"/>
            <w:rFonts w:eastAsia="Times New Roman" w:cs="Times New Roman" w:ascii="Times New Roman" w:hAnsi="Times New Roman"/>
            <w:color w:val="1155CC"/>
            <w:sz w:val="24"/>
            <w:szCs w:val="24"/>
            <w:u w:val="single"/>
          </w:rPr>
          <w:t>energy supply and demand</w:t>
        </w:r>
      </w:hyperlink>
      <w:r>
        <w:rPr>
          <w:rFonts w:eastAsia="Times New Roman" w:cs="Times New Roman" w:ascii="Times New Roman" w:hAnsi="Times New Roman"/>
          <w:sz w:val="24"/>
          <w:szCs w:val="24"/>
        </w:rPr>
        <w:t xml:space="preserve">. Energy supply has decreased, in large part due to the policy decisions that inactivated various power plants, while demand has increased significantly. Load growth has increased from about </w:t>
      </w:r>
      <w:hyperlink r:id="rId54">
        <w:r>
          <w:rPr>
            <w:rStyle w:val="Style3"/>
            <w:rFonts w:eastAsia="Times New Roman" w:cs="Times New Roman" w:ascii="Times New Roman" w:hAnsi="Times New Roman"/>
            <w:color w:val="1155CC"/>
            <w:sz w:val="24"/>
            <w:szCs w:val="24"/>
            <w:u w:val="single"/>
          </w:rPr>
          <w:t>1% to 3% per year, with peak demand projected to reach 154 GW this year, the highest they've ever expected</w:t>
        </w:r>
      </w:hyperlink>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The Need for More Power Due to AI</w:t>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Much of this demand is attributed to the rapidly increasing needs of data centers, which account for </w:t>
      </w:r>
      <w:hyperlink r:id="rId55">
        <w:r>
          <w:rPr>
            <w:rStyle w:val="Style3"/>
            <w:rFonts w:eastAsia="Times New Roman" w:cs="Times New Roman" w:ascii="Times New Roman" w:hAnsi="Times New Roman"/>
            <w:color w:val="1155CC"/>
            <w:sz w:val="24"/>
            <w:szCs w:val="24"/>
            <w:u w:val="single"/>
          </w:rPr>
          <w:t>4% of PJM’s load, with projections for them to take 12% of the load by 2030</w:t>
        </w:r>
      </w:hyperlink>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Another contributing factor to surging electricity costs across New York and New Jersey is artificial intelligence (AI). Large companies such as Amazon, Google, Meta, and Microsoft, which are at the forefront of AI innovation, </w:t>
      </w:r>
      <w:hyperlink r:id="rId56">
        <w:r>
          <w:rPr>
            <w:rStyle w:val="Style3"/>
            <w:rFonts w:eastAsia="Times New Roman" w:cs="Times New Roman" w:ascii="Times New Roman" w:hAnsi="Times New Roman"/>
            <w:color w:val="1155CC"/>
            <w:sz w:val="24"/>
            <w:szCs w:val="24"/>
            <w:u w:val="single"/>
          </w:rPr>
          <w:t>place immense strain on the grid</w:t>
        </w:r>
      </w:hyperlink>
      <w:r>
        <w:rPr>
          <w:rFonts w:eastAsia="Times New Roman" w:cs="Times New Roman" w:ascii="Times New Roman" w:hAnsi="Times New Roman"/>
          <w:sz w:val="24"/>
          <w:szCs w:val="24"/>
        </w:rPr>
        <w:t xml:space="preserve"> to power their demanding AI projects. AI data centers are becoming </w:t>
      </w:r>
      <w:hyperlink r:id="rId57">
        <w:r>
          <w:rPr>
            <w:rStyle w:val="Style3"/>
            <w:rFonts w:eastAsia="Times New Roman" w:cs="Times New Roman" w:ascii="Times New Roman" w:hAnsi="Times New Roman"/>
            <w:color w:val="1155CC"/>
            <w:sz w:val="24"/>
            <w:szCs w:val="24"/>
            <w:u w:val="single"/>
          </w:rPr>
          <w:t>large energy users</w:t>
        </w:r>
      </w:hyperlink>
      <w:r>
        <w:rPr>
          <w:rFonts w:eastAsia="Times New Roman" w:cs="Times New Roman" w:ascii="Times New Roman" w:hAnsi="Times New Roman"/>
          <w:sz w:val="24"/>
          <w:szCs w:val="24"/>
        </w:rPr>
        <w:t xml:space="preserve">, even outpacing electric vehicles in their power demand growth. However, as noted by Abe Silverman from the Ralph O’Connor Sustaining Energy Institute at Johns Hopkins University, building new plants takes </w:t>
      </w:r>
      <w:hyperlink r:id="rId58">
        <w:r>
          <w:rPr>
            <w:rStyle w:val="Style3"/>
            <w:rFonts w:eastAsia="Times New Roman" w:cs="Times New Roman" w:ascii="Times New Roman" w:hAnsi="Times New Roman"/>
            <w:color w:val="1155CC"/>
            <w:sz w:val="24"/>
            <w:szCs w:val="24"/>
            <w:u w:val="single"/>
          </w:rPr>
          <w:t>“five to ten years, and billions of dollars of investment.”</w:t>
        </w:r>
      </w:hyperlink>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Germany’s Failed Experiment</w:t>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Overly ambitious policy initiatives to shut down traditional power generation to be replaced by less reliable wind and solar energy has resulted in significant negative consequences throughout the globe.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These excessive requirements to help increase sustainability have backfired in many instances. In Germany, for instance, an optimistic </w:t>
      </w:r>
      <w:hyperlink r:id="rId59">
        <w:r>
          <w:rPr>
            <w:rStyle w:val="Style3"/>
            <w:rFonts w:eastAsia="Times New Roman" w:cs="Times New Roman" w:ascii="Times New Roman" w:hAnsi="Times New Roman"/>
            <w:color w:val="1155CC"/>
            <w:sz w:val="24"/>
            <w:szCs w:val="24"/>
            <w:u w:val="single"/>
          </w:rPr>
          <w:t>energy transition plan</w:t>
        </w:r>
      </w:hyperlink>
      <w:r>
        <w:rPr>
          <w:rFonts w:eastAsia="Times New Roman" w:cs="Times New Roman" w:ascii="Times New Roman" w:hAnsi="Times New Roman"/>
          <w:sz w:val="24"/>
          <w:szCs w:val="24"/>
        </w:rPr>
        <w:t xml:space="preserve"> involved shutting down nuclear power plants. In 2011, Germany’s 17 nuclear reactors </w:t>
      </w:r>
      <w:hyperlink r:id="rId60">
        <w:r>
          <w:rPr>
            <w:rStyle w:val="Style3"/>
            <w:rFonts w:eastAsia="Times New Roman" w:cs="Times New Roman" w:ascii="Times New Roman" w:hAnsi="Times New Roman"/>
            <w:color w:val="1155CC"/>
            <w:sz w:val="24"/>
            <w:szCs w:val="24"/>
            <w:u w:val="single"/>
          </w:rPr>
          <w:t>generated over 33% of the country’s electricity</w:t>
        </w:r>
      </w:hyperlink>
      <w:r>
        <w:rPr>
          <w:rFonts w:eastAsia="Times New Roman" w:cs="Times New Roman" w:ascii="Times New Roman" w:hAnsi="Times New Roman"/>
          <w:sz w:val="24"/>
          <w:szCs w:val="24"/>
        </w:rPr>
        <w:t xml:space="preserve">. The shutdown of these nuclear plants led to a return to using fossil fuels. Consequently, </w:t>
      </w:r>
      <w:hyperlink r:id="rId61">
        <w:r>
          <w:rPr>
            <w:rStyle w:val="Style3"/>
            <w:rFonts w:eastAsia="Times New Roman" w:cs="Times New Roman" w:ascii="Times New Roman" w:hAnsi="Times New Roman"/>
            <w:color w:val="1155CC"/>
            <w:sz w:val="24"/>
            <w:szCs w:val="24"/>
            <w:u w:val="single"/>
          </w:rPr>
          <w:t>greenhouse gas emissions and reliance on foreign energy sources actually increased</w:t>
        </w:r>
      </w:hyperlink>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Furthermore, according to PwC, Germany could have had </w:t>
      </w:r>
      <w:hyperlink r:id="rId62">
        <w:r>
          <w:rPr>
            <w:rStyle w:val="Style3"/>
            <w:rFonts w:eastAsia="Times New Roman" w:cs="Times New Roman" w:ascii="Times New Roman" w:hAnsi="Times New Roman"/>
            <w:color w:val="1155CC"/>
            <w:sz w:val="24"/>
            <w:szCs w:val="24"/>
            <w:u w:val="single"/>
          </w:rPr>
          <w:t>94% emission-free power generation</w:t>
        </w:r>
      </w:hyperlink>
      <w:r>
        <w:rPr>
          <w:rFonts w:eastAsia="Times New Roman" w:cs="Times New Roman" w:ascii="Times New Roman" w:hAnsi="Times New Roman"/>
          <w:sz w:val="24"/>
          <w:szCs w:val="24"/>
        </w:rPr>
        <w:t xml:space="preserve"> in 2024 if it had maintained its nuclear reactor fleet. Instead, there is only </w:t>
      </w:r>
      <w:hyperlink r:id="rId63">
        <w:r>
          <w:rPr>
            <w:rStyle w:val="Style3"/>
            <w:rFonts w:eastAsia="Times New Roman" w:cs="Times New Roman" w:ascii="Times New Roman" w:hAnsi="Times New Roman"/>
            <w:color w:val="1155CC"/>
            <w:sz w:val="24"/>
            <w:szCs w:val="24"/>
            <w:u w:val="single"/>
          </w:rPr>
          <w:t>61% emission-free power generation</w:t>
        </w:r>
      </w:hyperlink>
      <w:r>
        <w:rPr>
          <w:rFonts w:eastAsia="Times New Roman" w:cs="Times New Roman" w:ascii="Times New Roman" w:hAnsi="Times New Roman"/>
          <w:sz w:val="24"/>
          <w:szCs w:val="24"/>
        </w:rPr>
        <w:t>, signifying a significant downfall.</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According to the article, “</w:t>
      </w:r>
      <w:hyperlink r:id="rId64">
        <w:r>
          <w:rPr>
            <w:rStyle w:val="Style3"/>
            <w:rFonts w:eastAsia="Times New Roman" w:cs="Times New Roman" w:ascii="Times New Roman" w:hAnsi="Times New Roman"/>
            <w:color w:val="1155CC"/>
            <w:sz w:val="24"/>
            <w:szCs w:val="24"/>
            <w:u w:val="single"/>
          </w:rPr>
          <w:t>Germany's Energy Crisis: Europe's Leading Economy is Falling Behind</w:t>
        </w:r>
      </w:hyperlink>
      <w:r>
        <w:rPr>
          <w:rFonts w:eastAsia="Times New Roman" w:cs="Times New Roman" w:ascii="Times New Roman" w:hAnsi="Times New Roman"/>
          <w:sz w:val="24"/>
          <w:szCs w:val="24"/>
        </w:rPr>
        <w:t>,” Germany is now considered by many to be “the sick man of Europe” as it once again sinks into an energy-related stagnation.</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On a world scale, </w:t>
      </w:r>
      <w:hyperlink r:id="rId65">
        <w:r>
          <w:rPr>
            <w:rStyle w:val="Style3"/>
            <w:rFonts w:eastAsia="Times New Roman" w:cs="Times New Roman" w:ascii="Times New Roman" w:hAnsi="Times New Roman"/>
            <w:color w:val="1155CC"/>
            <w:sz w:val="24"/>
            <w:szCs w:val="24"/>
            <w:highlight w:val="white"/>
            <w:u w:val="single"/>
          </w:rPr>
          <w:t>the crisis in Germany</w:t>
        </w:r>
      </w:hyperlink>
      <w:r>
        <w:rPr>
          <w:rFonts w:eastAsia="Times New Roman" w:cs="Times New Roman" w:ascii="Times New Roman" w:hAnsi="Times New Roman"/>
          <w:sz w:val="24"/>
          <w:szCs w:val="24"/>
          <w:highlight w:val="white"/>
        </w:rPr>
        <w:t xml:space="preserve"> becomes clear, with Germany's electricity being twice as expensive as the cost in the United States. </w:t>
      </w:r>
    </w:p>
    <w:p>
      <w:pPr>
        <w:pStyle w:val="normal1"/>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rPr>
          <w:rFonts w:ascii="Times New Roman" w:hAnsi="Times New Roman" w:eastAsia="Times New Roman" w:cs="Times New Roman"/>
          <w:b/>
          <w:bCs/>
          <w:sz w:val="24"/>
          <w:szCs w:val="24"/>
          <w:highlight w:val="white"/>
        </w:rPr>
      </w:pPr>
      <w:r>
        <w:rPr>
          <w:rFonts w:eastAsia="Times New Roman" w:cs="Times New Roman" w:ascii="Times New Roman" w:hAnsi="Times New Roman"/>
          <w:b/>
          <w:bCs/>
          <w:sz w:val="24"/>
          <w:szCs w:val="24"/>
          <w:highlight w:val="white"/>
        </w:rPr>
        <w:t>California’s Failed Experiment</w:t>
      </w:r>
    </w:p>
    <w:p>
      <w:pPr>
        <w:pStyle w:val="normal1"/>
        <w:rPr>
          <w:rFonts w:ascii="Times New Roman" w:hAnsi="Times New Roman" w:eastAsia="Times New Roman" w:cs="Times New Roman"/>
          <w:b/>
          <w:bCs/>
          <w:sz w:val="24"/>
          <w:szCs w:val="24"/>
          <w:highlight w:val="white"/>
        </w:rPr>
      </w:pPr>
      <w:r>
        <w:rPr>
          <w:rFonts w:eastAsia="Times New Roman" w:cs="Times New Roman" w:ascii="Times New Roman" w:hAnsi="Times New Roman"/>
          <w:b/>
          <w:bCs/>
          <w:sz w:val="24"/>
          <w:szCs w:val="24"/>
          <w:highlight w:val="white"/>
        </w:rPr>
      </w:r>
    </w:p>
    <w:p>
      <w:pPr>
        <w:pStyle w:val="normal1"/>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The state of California promulgates the most aggressive green policies in the nation. It has resulted in electric costs being approximately </w:t>
      </w:r>
      <w:hyperlink r:id="rId66">
        <w:r>
          <w:rPr>
            <w:rStyle w:val="Style3"/>
            <w:rFonts w:eastAsia="Times New Roman" w:cs="Times New Roman" w:ascii="Times New Roman" w:hAnsi="Times New Roman"/>
            <w:color w:val="1155CC"/>
            <w:sz w:val="24"/>
            <w:szCs w:val="24"/>
            <w:highlight w:val="white"/>
            <w:u w:val="single"/>
          </w:rPr>
          <w:t>50% above</w:t>
        </w:r>
      </w:hyperlink>
      <w:r>
        <w:rPr>
          <w:rFonts w:eastAsia="Times New Roman" w:cs="Times New Roman" w:ascii="Times New Roman" w:hAnsi="Times New Roman"/>
          <w:sz w:val="24"/>
          <w:szCs w:val="24"/>
          <w:highlight w:val="white"/>
        </w:rPr>
        <w:t xml:space="preserve"> the national average and gasoline costs being</w:t>
      </w:r>
      <w:hyperlink r:id="rId67">
        <w:r>
          <w:rPr>
            <w:rStyle w:val="Style3"/>
            <w:rFonts w:eastAsia="Times New Roman" w:cs="Times New Roman" w:ascii="Times New Roman" w:hAnsi="Times New Roman"/>
            <w:color w:val="1155CC"/>
            <w:sz w:val="24"/>
            <w:szCs w:val="24"/>
            <w:highlight w:val="white"/>
            <w:u w:val="single"/>
          </w:rPr>
          <w:t xml:space="preserve"> 47 % above</w:t>
        </w:r>
      </w:hyperlink>
      <w:r>
        <w:rPr>
          <w:rFonts w:eastAsia="Times New Roman" w:cs="Times New Roman" w:ascii="Times New Roman" w:hAnsi="Times New Roman"/>
          <w:sz w:val="24"/>
          <w:szCs w:val="24"/>
          <w:highlight w:val="white"/>
        </w:rPr>
        <w:t xml:space="preserve"> the national average.</w:t>
      </w:r>
    </w:p>
    <w:p>
      <w:pPr>
        <w:pStyle w:val="normal1"/>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Among the many mandates imposed by the California legislature upon the energy consumer are the following:</w:t>
      </w:r>
    </w:p>
    <w:p>
      <w:pPr>
        <w:pStyle w:val="normal1"/>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numPr>
          <w:ilvl w:val="0"/>
          <w:numId w:val="4"/>
        </w:numPr>
        <w:ind w:hanging="360" w:left="720"/>
        <w:rPr>
          <w:rFonts w:ascii="Times New Roman" w:hAnsi="Times New Roman" w:eastAsia="Times New Roman" w:cs="Times New Roman"/>
          <w:sz w:val="24"/>
          <w:szCs w:val="24"/>
          <w:highlight w:val="white"/>
          <w:u w:val="none"/>
        </w:rPr>
      </w:pPr>
      <w:r>
        <w:rPr>
          <w:rFonts w:eastAsia="Times New Roman" w:cs="Times New Roman" w:ascii="Times New Roman" w:hAnsi="Times New Roman"/>
          <w:sz w:val="24"/>
          <w:szCs w:val="24"/>
          <w:highlight w:val="white"/>
        </w:rPr>
        <w:t xml:space="preserve">The </w:t>
      </w:r>
      <w:hyperlink r:id="rId68">
        <w:r>
          <w:rPr>
            <w:rStyle w:val="Style3"/>
            <w:rFonts w:eastAsia="Times New Roman" w:cs="Times New Roman" w:ascii="Times New Roman" w:hAnsi="Times New Roman"/>
            <w:color w:val="1155CC"/>
            <w:sz w:val="24"/>
            <w:szCs w:val="24"/>
            <w:highlight w:val="white"/>
            <w:u w:val="single"/>
          </w:rPr>
          <w:t>highest tax on gasoline</w:t>
        </w:r>
      </w:hyperlink>
      <w:r>
        <w:rPr>
          <w:rFonts w:eastAsia="Times New Roman" w:cs="Times New Roman" w:ascii="Times New Roman" w:hAnsi="Times New Roman"/>
          <w:sz w:val="24"/>
          <w:szCs w:val="24"/>
          <w:highlight w:val="white"/>
        </w:rPr>
        <w:t xml:space="preserve"> in the nation at $.70 per gallon.</w:t>
      </w:r>
    </w:p>
    <w:p>
      <w:pPr>
        <w:pStyle w:val="normal1"/>
        <w:numPr>
          <w:ilvl w:val="0"/>
          <w:numId w:val="4"/>
        </w:numPr>
        <w:ind w:hanging="360" w:left="720"/>
        <w:rPr>
          <w:rFonts w:ascii="Times New Roman" w:hAnsi="Times New Roman" w:eastAsia="Times New Roman" w:cs="Times New Roman"/>
          <w:sz w:val="24"/>
          <w:szCs w:val="24"/>
          <w:highlight w:val="white"/>
          <w:u w:val="none"/>
        </w:rPr>
      </w:pPr>
      <w:r>
        <w:rPr>
          <w:rFonts w:eastAsia="Times New Roman" w:cs="Times New Roman" w:ascii="Times New Roman" w:hAnsi="Times New Roman"/>
          <w:sz w:val="24"/>
          <w:szCs w:val="24"/>
          <w:highlight w:val="white"/>
        </w:rPr>
        <w:t xml:space="preserve">New low carbon and fuel standards that </w:t>
      </w:r>
      <w:hyperlink r:id="rId69">
        <w:r>
          <w:rPr>
            <w:rStyle w:val="Style3"/>
            <w:rFonts w:eastAsia="Times New Roman" w:cs="Times New Roman" w:ascii="Times New Roman" w:hAnsi="Times New Roman"/>
            <w:color w:val="1155CC"/>
            <w:sz w:val="24"/>
            <w:szCs w:val="24"/>
            <w:highlight w:val="white"/>
            <w:u w:val="single"/>
          </w:rPr>
          <w:t>will increase prices</w:t>
        </w:r>
      </w:hyperlink>
      <w:r>
        <w:rPr>
          <w:rFonts w:eastAsia="Times New Roman" w:cs="Times New Roman" w:ascii="Times New Roman" w:hAnsi="Times New Roman"/>
          <w:sz w:val="24"/>
          <w:szCs w:val="24"/>
          <w:highlight w:val="white"/>
        </w:rPr>
        <w:t xml:space="preserve"> in addition six to fifteen cents per gallon.</w:t>
      </w:r>
    </w:p>
    <w:p>
      <w:pPr>
        <w:pStyle w:val="normal1"/>
        <w:numPr>
          <w:ilvl w:val="0"/>
          <w:numId w:val="4"/>
        </w:numPr>
        <w:ind w:hanging="360" w:left="720"/>
        <w:rPr>
          <w:rFonts w:ascii="Times New Roman" w:hAnsi="Times New Roman" w:eastAsia="Times New Roman" w:cs="Times New Roman"/>
          <w:sz w:val="24"/>
          <w:szCs w:val="24"/>
          <w:highlight w:val="white"/>
          <w:u w:val="none"/>
        </w:rPr>
      </w:pPr>
      <w:hyperlink r:id="rId70">
        <w:r>
          <w:rPr>
            <w:rStyle w:val="Style3"/>
            <w:rFonts w:eastAsia="Times New Roman" w:cs="Times New Roman" w:ascii="Times New Roman" w:hAnsi="Times New Roman"/>
            <w:color w:val="1155CC"/>
            <w:sz w:val="24"/>
            <w:szCs w:val="24"/>
            <w:highlight w:val="white"/>
            <w:u w:val="single"/>
          </w:rPr>
          <w:t xml:space="preserve">A 2035 </w:t>
        </w:r>
      </w:hyperlink>
      <w:r>
        <w:rPr>
          <w:rFonts w:eastAsia="Times New Roman" w:cs="Times New Roman" w:ascii="Times New Roman" w:hAnsi="Times New Roman"/>
          <w:sz w:val="24"/>
          <w:szCs w:val="24"/>
          <w:highlight w:val="white"/>
        </w:rPr>
        <w:t>mandate that 100% of all vehicles sold in California be electric.</w:t>
      </w:r>
    </w:p>
    <w:p>
      <w:pPr>
        <w:pStyle w:val="normal1"/>
        <w:numPr>
          <w:ilvl w:val="0"/>
          <w:numId w:val="4"/>
        </w:numPr>
        <w:ind w:hanging="360" w:left="720"/>
        <w:rPr>
          <w:rFonts w:ascii="Times New Roman" w:hAnsi="Times New Roman" w:eastAsia="Times New Roman" w:cs="Times New Roman"/>
          <w:sz w:val="24"/>
          <w:szCs w:val="24"/>
          <w:highlight w:val="white"/>
          <w:u w:val="none"/>
        </w:rPr>
      </w:pPr>
      <w:r>
        <w:rPr>
          <w:rFonts w:eastAsia="Times New Roman" w:cs="Times New Roman" w:ascii="Times New Roman" w:hAnsi="Times New Roman"/>
          <w:sz w:val="24"/>
          <w:szCs w:val="24"/>
          <w:highlight w:val="white"/>
        </w:rPr>
        <w:t xml:space="preserve">An additional estimated $.30 to $.70 per gallon to gasoline due to special gasoline formulation called </w:t>
      </w:r>
      <w:hyperlink r:id="rId71">
        <w:r>
          <w:rPr>
            <w:rStyle w:val="Style3"/>
            <w:rFonts w:eastAsia="Times New Roman" w:cs="Times New Roman" w:ascii="Times New Roman" w:hAnsi="Times New Roman"/>
            <w:color w:val="1155CC"/>
            <w:sz w:val="24"/>
            <w:szCs w:val="24"/>
            <w:highlight w:val="white"/>
            <w:u w:val="single"/>
          </w:rPr>
          <w:t>CARBOB</w:t>
        </w:r>
      </w:hyperlink>
      <w:r>
        <w:rPr>
          <w:rFonts w:eastAsia="Times New Roman" w:cs="Times New Roman" w:ascii="Times New Roman" w:hAnsi="Times New Roman"/>
          <w:sz w:val="24"/>
          <w:szCs w:val="24"/>
          <w:highlight w:val="white"/>
        </w:rPr>
        <w:t>.</w:t>
      </w:r>
    </w:p>
    <w:p>
      <w:pPr>
        <w:pStyle w:val="normal1"/>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b/>
          <w:bCs/>
          <w:sz w:val="24"/>
          <w:szCs w:val="24"/>
        </w:rPr>
        <w:t>The High Cost of Offshore Wind Energy</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Wind energy has an astronomical upfront cost.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According to </w:t>
      </w:r>
      <w:hyperlink r:id="rId72">
        <w:r>
          <w:rPr>
            <w:rStyle w:val="Style3"/>
            <w:rFonts w:eastAsia="Times New Roman" w:cs="Times New Roman" w:ascii="Times New Roman" w:hAnsi="Times New Roman"/>
            <w:i/>
            <w:iCs/>
            <w:color w:val="1155CC"/>
            <w:sz w:val="24"/>
            <w:szCs w:val="24"/>
            <w:u w:val="single"/>
          </w:rPr>
          <w:t>NY Energy Ratings</w:t>
        </w:r>
      </w:hyperlink>
      <w:r>
        <w:rPr>
          <w:rFonts w:eastAsia="Times New Roman" w:cs="Times New Roman" w:ascii="Times New Roman" w:hAnsi="Times New Roman"/>
          <w:sz w:val="24"/>
          <w:szCs w:val="24"/>
        </w:rPr>
        <w:t xml:space="preserve">, “Developers are looking for a way to pay for the mounting costs of new wind energy projects. They have even asked the PSC to increase </w:t>
      </w:r>
      <w:hyperlink r:id="rId73">
        <w:r>
          <w:rPr>
            <w:rStyle w:val="Style3"/>
            <w:rFonts w:eastAsia="Times New Roman" w:cs="Times New Roman" w:ascii="Times New Roman" w:hAnsi="Times New Roman"/>
            <w:sz w:val="24"/>
            <w:szCs w:val="24"/>
          </w:rPr>
          <w:t>New York electric rates</w:t>
        </w:r>
      </w:hyperlink>
      <w:r>
        <w:rPr>
          <w:rFonts w:eastAsia="Times New Roman" w:cs="Times New Roman" w:ascii="Times New Roman" w:hAnsi="Times New Roman"/>
          <w:sz w:val="24"/>
          <w:szCs w:val="24"/>
        </w:rPr>
        <w:t xml:space="preserve">.” This is estimated to result in an increase of about </w:t>
      </w:r>
      <w:hyperlink r:id="rId74">
        <w:r>
          <w:rPr>
            <w:rStyle w:val="Style3"/>
            <w:rFonts w:eastAsia="Times New Roman" w:cs="Times New Roman" w:ascii="Times New Roman" w:hAnsi="Times New Roman"/>
            <w:color w:val="1155CC"/>
            <w:sz w:val="24"/>
            <w:szCs w:val="24"/>
            <w:u w:val="single"/>
          </w:rPr>
          <w:t>4%, or $4.67 per month</w:t>
        </w:r>
      </w:hyperlink>
      <w:r>
        <w:rPr>
          <w:rFonts w:eastAsia="Times New Roman" w:cs="Times New Roman" w:ascii="Times New Roman" w:hAnsi="Times New Roman"/>
          <w:sz w:val="24"/>
          <w:szCs w:val="24"/>
        </w:rPr>
        <w:t xml:space="preserve"> for ratepayers. Some projects are </w:t>
      </w:r>
      <w:hyperlink r:id="rId75">
        <w:r>
          <w:rPr>
            <w:rStyle w:val="Style3"/>
            <w:rFonts w:eastAsia="Times New Roman" w:cs="Times New Roman" w:ascii="Times New Roman" w:hAnsi="Times New Roman"/>
            <w:color w:val="1155CC"/>
            <w:sz w:val="24"/>
            <w:szCs w:val="24"/>
            <w:u w:val="single"/>
          </w:rPr>
          <w:t>costing double</w:t>
        </w:r>
      </w:hyperlink>
      <w:r>
        <w:rPr>
          <w:rFonts w:eastAsia="Times New Roman" w:cs="Times New Roman" w:ascii="Times New Roman" w:hAnsi="Times New Roman"/>
          <w:sz w:val="24"/>
          <w:szCs w:val="24"/>
        </w:rPr>
        <w:t xml:space="preserve"> what they were expected to.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At first, many proponents of offshore wind were touting that it was going to be saving ratepayers money. As these proclamations have been proven inaccurate, many lawmakers have shifted their talking points to now claim that it is an expense well worth it. The common green mantra was: “We need to move into clean power. It's going to cost  you an arm and a leg, but if you’re a good person, you’ll do it</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ind w:hanging="0" w:left="216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ind w:hanging="0" w:left="360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CONCLUSION</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decision as to whether the cost of a policy initiative is worth it is to be determined by the people in a democracy. As a baseline, however, the people must at least be informed of the truth so they can come to an intelligent conclusion. At the very least, they should be aware of the following: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5"/>
        </w:numPr>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Offshore wind costs more, not less, for the ratepayer.</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2"/>
        </w:numPr>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Shutting down existing nuclear and gas powered plants makes the grid more vulnerable to brown outs.</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1"/>
        </w:numPr>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Ending the gradual transition to natural gas actually leads to a higher carbon footprint, not a lower one.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8"/>
        </w:numPr>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The hundred percent renewable energy plans in place in many states will simply not be achieved.</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7"/>
        </w:numPr>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Enacting extreme green policies that dramatically increase energy consumption costs can cripple economies as we’ve seen in Germany. They also have the potential to have hundreds of millions of people regress back into deprivation after having escaped poverty as a result of the industrialization in Asia over the last several decades.</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3"/>
        </w:numPr>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There is a way to achieve a clean planet without having a devastating impact on the economic well-being of billions of people. The transition to clean fuels must be realistic and gradual.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6"/>
        </w:numPr>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Natural gas, which is much cleaner than coal or oil and is quite plentiful and can be combined with a clean nuclear energy to bridge the gap from the use of dirty coal and oil to a day where the majority of our energy will be generated through renewable, sustainable, cleaner products.</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sectPr>
      <w:headerReference w:type="even" r:id="rId76"/>
      <w:headerReference w:type="default" r:id="rId77"/>
      <w:headerReference w:type="first" r:id="rId78"/>
      <w:footerReference w:type="even" r:id="rId79"/>
      <w:footerReference w:type="default" r:id="rId80"/>
      <w:footerReference w:type="first" r:id="rId81"/>
      <w:type w:val="nextPage"/>
      <w:pgSz w:w="12240" w:h="15840"/>
      <w:pgMar w:left="1440" w:right="1440" w:gutter="0" w:header="720" w:top="1440" w:footer="72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0"/>
    <w:family w:val="roman"/>
    <w:pitch w:val="variable"/>
    <w:embedRegular r:id="rId18" w:fontKey="{12014A78-CABC-4EF0-12AC-5CD89AEFDE12}"/>
  </w:font>
  <w:font w:name="Wingdings">
    <w:charset w:val="02"/>
    <w:family w:val="auto"/>
    <w:pitch w:val="default"/>
    <w:embedRegular r:id="rId19" w:fontKey="{13014A78-CABC-4EF0-12AC-5CD89AEFDE13}"/>
    <w:embedBold r:id="rId20" w:fontKey="{14014A78-CABC-4EF0-12AC-5CD89AEFDE14}"/>
  </w:font>
  <w:font w:name="Wingdings 2">
    <w:charset w:val="02"/>
    <w:family w:val="auto"/>
    <w:pitch w:val="default"/>
    <w:embedRegular r:id="rId21" w:fontKey="{15014A78-CABC-4EF0-12AC-5CD89AEFDE15}"/>
    <w:embedBold r:id="rId22" w:fontKey="{16014A78-CABC-4EF0-12AC-5CD89AEFDE16}"/>
  </w:font>
  <w:font w:name="OpenSymbol">
    <w:altName w:val="Arial Unicode MS"/>
    <w:charset w:val="01"/>
    <w:family w:val="auto"/>
    <w:pitch w:val="default"/>
    <w:embedRegular r:id="rId23" w:fontKey="{17014A78-CABC-4EF0-12AC-5CD89AEFDE17}"/>
    <w:embedBold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rFonts w:ascii="Times New Roman" w:hAnsi="Times New Roman" w:eastAsia="Times New Roman" w:cs="Times New Roman"/>
        <w:sz w:val="24"/>
        <w:szCs w:val="24"/>
      </w:rPr>
    </w:pPr>
    <w:r>
      <w:rPr/>
      <w:fldChar w:fldCharType="begin"/>
    </w:r>
    <w:r>
      <w:rPr/>
      <w:instrText xml:space="preserve"> PAGE </w:instrText>
    </w:r>
    <w:r>
      <w:rPr/>
      <w:fldChar w:fldCharType="separate"/>
    </w:r>
    <w:r>
      <w:rPr/>
      <w:t>16</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rFonts w:ascii="Times New Roman" w:hAnsi="Times New Roman" w:eastAsia="Times New Roman" w:cs="Times New Roman"/>
        <w:sz w:val="24"/>
        <w:szCs w:val="24"/>
      </w:rPr>
    </w:pPr>
    <w:r>
      <w:rPr/>
      <w:fldChar w:fldCharType="begin"/>
    </w:r>
    <w:r>
      <w:rPr/>
      <w:instrText xml:space="preserve"> PAGE </w:instrText>
    </w:r>
    <w:r>
      <w:rPr/>
      <w:fldChar w:fldCharType="separate"/>
    </w:r>
    <w:r>
      <w:rPr/>
      <w:t>16</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nypost.com/2025/08/24/opinion/how-scheming-politicians-made-utilities-their-energy-bagmen/" TargetMode="External"/><Relationship Id="rId4" Type="http://schemas.openxmlformats.org/officeDocument/2006/relationships/hyperlink" Target="https://nypost.com/2025/09/30/opinion/hochuls-inflation-refund-checks-wont-put-a-dent-in-what-shes-squeezed-from-nyers/" TargetMode="External"/><Relationship Id="rId5" Type="http://schemas.openxmlformats.org/officeDocument/2006/relationships/hyperlink" Target="https://nypost.com/2025/02/05/us-news/con-ed-proposes-massive-rate-hikes-that-could-send-new-yorkers-gas-electric-bills-soaring-thanks-to-hochul/" TargetMode="External"/><Relationship Id="rId6" Type="http://schemas.openxmlformats.org/officeDocument/2006/relationships/hyperlink" Target="https://www.empirecenter.org/publications/albanys-looming-energy-shock/" TargetMode="External"/><Relationship Id="rId7" Type="http://schemas.openxmlformats.org/officeDocument/2006/relationships/hyperlink" Target="https://nypost.com/2025/03/23/opinion/cuomo-hochul-sent-energy-bills-soaring-time-to-climb-down/" TargetMode="External"/><Relationship Id="rId8" Type="http://schemas.openxmlformats.org/officeDocument/2006/relationships/hyperlink" Target="https://www.nyserda.ny.gov/Energy-Prices/Electricity/Monthly-Avg-Electricity-Residential" TargetMode="External"/><Relationship Id="rId9" Type="http://schemas.openxmlformats.org/officeDocument/2006/relationships/hyperlink" Target="https://www.electricchoice.com/electricity-prices-by-state/" TargetMode="External"/><Relationship Id="rId10" Type="http://schemas.openxmlformats.org/officeDocument/2006/relationships/hyperlink" Target="https://www.electricchoice.com/electricity-prices-by-state/texas/" TargetMode="External"/><Relationship Id="rId11" Type="http://schemas.openxmlformats.org/officeDocument/2006/relationships/hyperlink" Target="https://www.adaptationclearinghouse.org/resources/new-york-state-climate-leadership-and-community-protection-act-sb-s6599.html?" TargetMode="External"/><Relationship Id="rId12" Type="http://schemas.openxmlformats.org/officeDocument/2006/relationships/hyperlink" Target="https://climate.ny.gov/resources/scoping-plan" TargetMode="External"/><Relationship Id="rId13" Type="http://schemas.openxmlformats.org/officeDocument/2006/relationships/hyperlink" Target="https://www.timesunion.com/opinion/article/commentary-happened-plans-public-solar-wind-20784487.php?" TargetMode="External"/><Relationship Id="rId14" Type="http://schemas.openxmlformats.org/officeDocument/2006/relationships/hyperlink" Target="https://pragmaticenvironmentalistofnewyork.blog/2023/02/09/new-york-state-ghg-emissions-update/" TargetMode="External"/><Relationship Id="rId15" Type="http://schemas.openxmlformats.org/officeDocument/2006/relationships/hyperlink" Target="https://climate.ny.gov/resources/scoping-plan" TargetMode="External"/><Relationship Id="rId16" Type="http://schemas.openxmlformats.org/officeDocument/2006/relationships/hyperlink" Target="https://climate.ny.gov/" TargetMode="External"/><Relationship Id="rId17" Type="http://schemas.openxmlformats.org/officeDocument/2006/relationships/hyperlink" Target="https://pragmaticenvironmentalistofnewyork.blog/2023/02/09/new-york-state-ghg-emissions-update" TargetMode="External"/><Relationship Id="rId18" Type="http://schemas.openxmlformats.org/officeDocument/2006/relationships/hyperlink" Target="https://pragmaticenvironmentalistofnewyork.blog/2023/02/09/new-york-state-ghg-emissions-update" TargetMode="External"/><Relationship Id="rId19" Type="http://schemas.openxmlformats.org/officeDocument/2006/relationships/hyperlink" Target="https://pragmaticenvironmentalistofnewyork.blog/2023/02/09/new-york-state-ghg-emissions-update" TargetMode="External"/><Relationship Id="rId20" Type="http://schemas.openxmlformats.org/officeDocument/2006/relationships/hyperlink" Target="https://www.carbonbrief.org/analysis-why-us-carbon-emissions-have-fallen-14-since-2005/" TargetMode="External"/><Relationship Id="rId21" Type="http://schemas.openxmlformats.org/officeDocument/2006/relationships/hyperlink" Target="https://www.eia.gov/todayinenergy/detail.php?id=34872" TargetMode="External"/><Relationship Id="rId22" Type="http://schemas.openxmlformats.org/officeDocument/2006/relationships/hyperlink" Target="https://nypost.com/2025/08/24/opinion/how-scheming-politicians-made-utilities-their-energy-bagmen/" TargetMode="External"/><Relationship Id="rId23" Type="http://schemas.openxmlformats.org/officeDocument/2006/relationships/hyperlink" Target="https://nypost.com/2025/08/01/opinion/to-make-ny-affordable-gov-hochul-should-scrap-her-all-electric-plan-and-push-gas/" TargetMode="External"/><Relationship Id="rId24" Type="http://schemas.openxmlformats.org/officeDocument/2006/relationships/hyperlink" Target="https://nypost.com/2025/08/01/opinion/to-make-ny-affordable-gov-hochul-should-scrap-her-all-electric-plan-and-push-gas/" TargetMode="External"/><Relationship Id="rId25" Type="http://schemas.openxmlformats.org/officeDocument/2006/relationships/hyperlink" Target="https://nypost.com/2025/06/01/opinion/how-trump-is-cutting-off-wasteful-green-energy-cash-spigot/" TargetMode="External"/><Relationship Id="rId26" Type="http://schemas.openxmlformats.org/officeDocument/2006/relationships/hyperlink" Target="https://nypost.com/2025/02/05/us-news/con-ed-proposes-massive-rate-hikes-that-could-send-new-yorkers-gas-electric-bills-soaring-thanks-to-hochul/" TargetMode="External"/><Relationship Id="rId27" Type="http://schemas.openxmlformats.org/officeDocument/2006/relationships/hyperlink" Target="https://nypost.com/2025/02/05/us-news/con-ed-proposes-massive-rate-hikes-that-could-send-new-yorkers-gas-electric-bills-soaring-thanks-to-hochul/" TargetMode="External"/><Relationship Id="rId28" Type="http://schemas.openxmlformats.org/officeDocument/2006/relationships/hyperlink" Target="https://nypost.com/2025/08/24/opinion/how-scheming-politicians-made-utilities-their-energy-bagmen/" TargetMode="External"/><Relationship Id="rId29" Type="http://schemas.openxmlformats.org/officeDocument/2006/relationships/hyperlink" Target="https://nypost.com/2025/08/24/opinion/how-scheming-politicians-made-utilities-their-energy-bagmen" TargetMode="External"/><Relationship Id="rId30" Type="http://schemas.openxmlformats.org/officeDocument/2006/relationships/hyperlink" Target="https://nypost.com/2025/08/24/opinion/how-scheming-politicians-made-utilities-their-energy-bagmen" TargetMode="External"/><Relationship Id="rId31" Type="http://schemas.openxmlformats.org/officeDocument/2006/relationships/hyperlink" Target="https://nypost.com/2025/08/24/opinion/how-scheming-politicians-made-utilities-their-energy-bagmen/" TargetMode="External"/><Relationship Id="rId32" Type="http://schemas.openxmlformats.org/officeDocument/2006/relationships/hyperlink" Target="https://nypost.com/2025/08/24/opinion/how-scheming-politicians-made-utilities-their-energy-bagmen/" TargetMode="External"/><Relationship Id="rId33" Type="http://schemas.openxmlformats.org/officeDocument/2006/relationships/hyperlink" Target="https://nypost.com/2025/08/24/opinion/how-scheming-politicians-made-utilities-their-energy-bagmen/" TargetMode="External"/><Relationship Id="rId34" Type="http://schemas.openxmlformats.org/officeDocument/2006/relationships/hyperlink" Target="https://nypost.com/2025/08/24/opinion/how-scheming-politicians-made-utilities-their-energy-bagmen/" TargetMode="External"/><Relationship Id="rId35" Type="http://schemas.openxmlformats.org/officeDocument/2006/relationships/hyperlink" Target="https://nypost.com/2025/08/24/opinion/how-scheming-politicians-made-utilities-their-energy-bagmen/" TargetMode="External"/><Relationship Id="rId36" Type="http://schemas.openxmlformats.org/officeDocument/2006/relationships/hyperlink" Target="https://nypost.com/2025/08/24/opinion/how-scheming-politicians-made-utilities-their-energy-bagmen/" TargetMode="External"/><Relationship Id="rId37" Type="http://schemas.openxmlformats.org/officeDocument/2006/relationships/hyperlink" Target="https://www.timesunion.com/opinion/article/commentary-happened-plans-public-solar-wind-20784487.php?" TargetMode="External"/><Relationship Id="rId38" Type="http://schemas.openxmlformats.org/officeDocument/2006/relationships/hyperlink" Target="https://nypost.com/2025/08/18/us-news/how-ai-data-centers-lead-to-big-electric-bills-in-ny-and-nj/" TargetMode="External"/><Relationship Id="rId39" Type="http://schemas.openxmlformats.org/officeDocument/2006/relationships/hyperlink" Target="https://nypost.com/2025/08/16/opinion/insane-energy-policies-are-set-to-burn-democrats-in-new-jersey-new-york/" TargetMode="External"/><Relationship Id="rId40" Type="http://schemas.openxmlformats.org/officeDocument/2006/relationships/hyperlink" Target="https://nypost.com/2025/02/05/us-news/con-ed-proposes-massive-rate-hikes-that-could-send-new-yorkers-gas-electric-bills-soaring-thanks-to-hochul/" TargetMode="External"/><Relationship Id="rId41" Type="http://schemas.openxmlformats.org/officeDocument/2006/relationships/hyperlink" Target="https://nypost.com/2025/02/05/us-news/con-ed-proposes-massive-rate-hikes-that-could-send-new-yorkers-gas-electric-bills-soaring-thanks-to-hochul/" TargetMode="External"/><Relationship Id="rId42" Type="http://schemas.openxmlformats.org/officeDocument/2006/relationships/hyperlink" Target="https://nypost.com/2025/02/05/us-news/con-ed-proposes-massive-rate-hikes-that-could-send-new-yorkers-gas-electric-bills-soaring-thanks-to-hochul/" TargetMode="External"/><Relationship Id="rId43" Type="http://schemas.openxmlformats.org/officeDocument/2006/relationships/hyperlink" Target="https://nypost.com/2025/04/25/us-news/empire-wind-one-energy-would-cost-nyers-2-5x-market-rate-expert/" TargetMode="External"/><Relationship Id="rId44" Type="http://schemas.openxmlformats.org/officeDocument/2006/relationships/hyperlink" Target="https://spectrumlocalnews.com/nys/central-ny/politics/2025/09/03/trump-administration-targets-superfund-act" TargetMode="External"/><Relationship Id="rId45" Type="http://schemas.openxmlformats.org/officeDocument/2006/relationships/hyperlink" Target="https://spectrumlocalnews.com/nys/central-ny/politics/2025/09/03/trump-administration-targets-superfund-act" TargetMode="External"/><Relationship Id="rId46" Type="http://schemas.openxmlformats.org/officeDocument/2006/relationships/hyperlink" Target="https://spectrumlocalnews.com/nys/central-ny/politics/2025/09/03/trump-administration-targets-superfund-act" TargetMode="External"/><Relationship Id="rId47" Type="http://schemas.openxmlformats.org/officeDocument/2006/relationships/hyperlink" Target="https://spectrumlocalnews.com/nys/central-ny/politics/2025/09/03/trump-administration-targets-superfund-act" TargetMode="External"/><Relationship Id="rId48" Type="http://schemas.openxmlformats.org/officeDocument/2006/relationships/hyperlink" Target="https://spectrumlocalnews.com/nys/central-ny/politics/2025/09/03/trump-administration-targets-superfund-act" TargetMode="External"/><Relationship Id="rId49" Type="http://schemas.openxmlformats.org/officeDocument/2006/relationships/hyperlink" Target="https://spectrumlocalnews.com/nys/central-ny/politics/2025/09/03/trump-administration-targets-superfund-act" TargetMode="External"/><Relationship Id="rId50" Type="http://schemas.openxmlformats.org/officeDocument/2006/relationships/hyperlink" Target="https://rpa.org/news/lab/whats-happening-with-electricity-rates-in-new-jersey" TargetMode="External"/><Relationship Id="rId51" Type="http://schemas.openxmlformats.org/officeDocument/2006/relationships/hyperlink" Target="https://nypost.com/2025/08/18/us-news/how-ai-data-centers-lead-to-big-electric-bills-in-ny-and-nj/" TargetMode="External"/><Relationship Id="rId52" Type="http://schemas.openxmlformats.org/officeDocument/2006/relationships/hyperlink" Target="https://nypost.com/2025/08/18/us-news/how-ai-data-centers-lead-to-big-electric-bills-in-ny-and-nj/" TargetMode="External"/><Relationship Id="rId53" Type="http://schemas.openxmlformats.org/officeDocument/2006/relationships/hyperlink" Target="https://rpa.org/news/lab/whats-happening-with-electricity-rates-in-new-jersey" TargetMode="External"/><Relationship Id="rId54" Type="http://schemas.openxmlformats.org/officeDocument/2006/relationships/hyperlink" Target="https://rpa.org/news/lab/whats-happening-with-electricity-rates-in-new-jersey" TargetMode="External"/><Relationship Id="rId55" Type="http://schemas.openxmlformats.org/officeDocument/2006/relationships/hyperlink" Target="https://rpa.org/news/lab/whats-happening-with-electricity-rates-in-new-jersey" TargetMode="External"/><Relationship Id="rId56" Type="http://schemas.openxmlformats.org/officeDocument/2006/relationships/hyperlink" Target="https://nypost.com/2025/08/18/us-news/how-ai-data-centers-lead-to-big-electric-bills-in-ny-and-nj/" TargetMode="External"/><Relationship Id="rId57" Type="http://schemas.openxmlformats.org/officeDocument/2006/relationships/hyperlink" Target="https://nypost.com/2025/08/18/us-news/how-ai-data-centers-lead-to-big-electric-bills-in-ny-and-nj/" TargetMode="External"/><Relationship Id="rId58" Type="http://schemas.openxmlformats.org/officeDocument/2006/relationships/hyperlink" Target="https://nypost.com/2025/08/18/us-news/how-ai-data-centers-lead-to-big-electric-bills-in-ny-and-nj/" TargetMode="External"/><Relationship Id="rId59" Type="http://schemas.openxmlformats.org/officeDocument/2006/relationships/hyperlink" Target="https://www.foronuclear.org/en/updates/in-depth/germanys-nuclear-shutdown-mistake-rising-prices-increased-emissions-and-economic-recession/" TargetMode="External"/><Relationship Id="rId60" Type="http://schemas.openxmlformats.org/officeDocument/2006/relationships/hyperlink" Target="https://www.foronuclear.org/en/updates/in-depth/germanys-nuclear-shutdown-mistake-rising-prices-increased-emissions-and-economic-recession/" TargetMode="External"/><Relationship Id="rId61" Type="http://schemas.openxmlformats.org/officeDocument/2006/relationships/hyperlink" Target="https://www.foronuclear.org/en/updates/in-depth/germanys-nuclear-shutdown-mistake-rising-prices-increased-emissions-and-economic-recession/" TargetMode="External"/><Relationship Id="rId62" Type="http://schemas.openxmlformats.org/officeDocument/2006/relationships/hyperlink" Target="https://www.foronuclear.org/en/updates/in-depth/germanys-nuclear-shutdown-mistake-rising-prices-increased-emissions-and-economic-recession/" TargetMode="External"/><Relationship Id="rId63" Type="http://schemas.openxmlformats.org/officeDocument/2006/relationships/hyperlink" Target="https://www.foronuclear.org/en/updates/in-depth/germanys-nuclear-shutdown-mistake-rising-prices-increased-emissions-and-economic-recession/" TargetMode="External"/><Relationship Id="rId64" Type="http://schemas.openxmlformats.org/officeDocument/2006/relationships/hyperlink" Target="https://hir.harvard.edu/germanys-energy-crisis-europes-leading-economy-is-falling-behind/" TargetMode="External"/><Relationship Id="rId65" Type="http://schemas.openxmlformats.org/officeDocument/2006/relationships/hyperlink" Target="https://worldpopulationreview.com/country-rankings/cost-of-electricity-by-country" TargetMode="External"/><Relationship Id="rId66" Type="http://schemas.openxmlformats.org/officeDocument/2006/relationships/hyperlink" Target="https://energyathaas.wordpress.com/2025/09/15/reining-in-californias-runaway-electricity-rates/" TargetMode="External"/><Relationship Id="rId67" Type="http://schemas.openxmlformats.org/officeDocument/2006/relationships/hyperlink" Target="https://gasprices.aaa.com/?state=CA" TargetMode="External"/><Relationship Id="rId68" Type="http://schemas.openxmlformats.org/officeDocument/2006/relationships/hyperlink" Target="https://taxfoundation.org/data/all/state/gas-taxes-state/" TargetMode="External"/><Relationship Id="rId69" Type="http://schemas.openxmlformats.org/officeDocument/2006/relationships/hyperlink" Target="https://www.eenews.net/articles/what-to-know-about-californias-new-low-carbon-fuel-standard/" TargetMode="External"/><Relationship Id="rId70" Type="http://schemas.openxmlformats.org/officeDocument/2006/relationships/hyperlink" Target="https://newuniversity.org/2025/07/23/californias-ev-mandate-was-struck-down-what-does-this-mean/" TargetMode="External"/><Relationship Id="rId71" Type="http://schemas.openxmlformats.org/officeDocument/2006/relationships/hyperlink" Target="https://www.assembly.ca.gov/system/files/2024-09/cec-transportation-fuels-assessment-august-2024.pdf" TargetMode="External"/><Relationship Id="rId72" Type="http://schemas.openxmlformats.org/officeDocument/2006/relationships/hyperlink" Target="https://www.nyenergyratings.com/blog/proposed-wind-energy-contracts-may-hike-residential-rates/" TargetMode="External"/><Relationship Id="rId73" Type="http://schemas.openxmlformats.org/officeDocument/2006/relationships/hyperlink" Target="https://www.nyenergyratings.com/electricity-rates" TargetMode="External"/><Relationship Id="rId74" Type="http://schemas.openxmlformats.org/officeDocument/2006/relationships/hyperlink" Target="https://www.utilitydive.com/news/new-york-clean-energy-contracts-change-prices-orsted-equinor-nyserda-psc/692415/" TargetMode="External"/><Relationship Id="rId75" Type="http://schemas.openxmlformats.org/officeDocument/2006/relationships/hyperlink" Target="https://www.instituteforenergyresearch.org/renewable/offshore-wind-now-costs-more-than-double-the-original-estimates-in-new-york/" TargetMode="External"/><Relationship Id="rId76" Type="http://schemas.openxmlformats.org/officeDocument/2006/relationships/header" Target="header1.xml"/><Relationship Id="rId77" Type="http://schemas.openxmlformats.org/officeDocument/2006/relationships/header" Target="header2.xml"/><Relationship Id="rId78" Type="http://schemas.openxmlformats.org/officeDocument/2006/relationships/header" Target="header3.xml"/><Relationship Id="rId79" Type="http://schemas.openxmlformats.org/officeDocument/2006/relationships/footer" Target="footer1.xml"/><Relationship Id="rId80" Type="http://schemas.openxmlformats.org/officeDocument/2006/relationships/footer" Target="footer2.xml"/><Relationship Id="rId81" Type="http://schemas.openxmlformats.org/officeDocument/2006/relationships/footer" Target="footer3.xml"/><Relationship Id="rId82" Type="http://schemas.openxmlformats.org/officeDocument/2006/relationships/numbering" Target="numbering.xml"/><Relationship Id="rId83" Type="http://schemas.openxmlformats.org/officeDocument/2006/relationships/fontTable" Target="fontTable.xml"/><Relationship Id="rId84" Type="http://schemas.openxmlformats.org/officeDocument/2006/relationships/settings" Target="settings.xml"/><Relationship Id="rId8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LibreOffice/25.2.6.2$Windows_X86_64 LibreOffice_project/729c5bfe710f5eb71ed3bbde9e06a6065e9c6c5d</Application>
  <AppVersion>15.0000</AppVersion>
  <Pages>16</Pages>
  <Words>2787</Words>
  <Characters>13910</Characters>
  <CharactersWithSpaces>16341</CharactersWithSpaces>
  <Paragraphs>395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2025-11-17T16:08:55Z</dcterms:modified>
  <cp:revision>1</cp:revision>
  <dc:subject/>
  <dc:title/>
</cp:coreProperties>
</file>